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coreR5809A009" Type="http://schemas.openxmlformats.org/package/2006/relationships/metadata/core-properties" Target="/docProps/core.xml"/><Relationship Id="R5809A009" Type="http://schemas.openxmlformats.org/officeDocument/2006/relationships/officeDocument" Target="/word/document.xml"/></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Autospacing="0" w:afterAutospacing="0"/>
        <w:ind w:left="0"/>
        <w:jc w:val="center"/>
        <w:rPr>
          <w:rFonts w:ascii="Times New Roman" w:hAnsi="Times New Roman"/>
          <w:b w:val="1"/>
          <w:caps w:val="1"/>
          <w:sz w:val="22"/>
        </w:rPr>
      </w:pPr>
      <w:r>
        <w:rPr>
          <w:rFonts w:ascii="Times New Roman" w:hAnsi="Times New Roman"/>
          <w:b w:val="1"/>
          <w:caps w:val="1"/>
          <w:sz w:val="22"/>
        </w:rPr>
        <w:t>Zarządzenie Nr 279/25</w:t>
        <w:br w:type="textWrapping"/>
        <w:t>Prezydenta Miasta Gdańska</w:t>
      </w:r>
    </w:p>
    <w:p>
      <w:pPr>
        <w:spacing w:lineRule="auto" w:line="240" w:before="280" w:after="280" w:beforeAutospacing="0" w:afterAutospacing="0"/>
        <w:ind w:left="0"/>
        <w:jc w:val="center"/>
        <w:rPr>
          <w:rFonts w:ascii="Times New Roman" w:hAnsi="Times New Roman"/>
          <w:b w:val="1"/>
          <w:caps w:val="1"/>
          <w:sz w:val="22"/>
        </w:rPr>
      </w:pPr>
      <w:r>
        <w:rPr>
          <w:rFonts w:ascii="Times New Roman" w:hAnsi="Times New Roman"/>
          <w:b w:val="0"/>
          <w:caps w:val="0"/>
          <w:sz w:val="22"/>
        </w:rPr>
        <w:t>z dnia 14 lutego 2025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w sprawie wprowadzenia "Gdańskiej Karty dla Drzew"</w:t>
      </w:r>
    </w:p>
    <w:p>
      <w:pPr>
        <w:keepNext w:val="0"/>
        <w:keepLines w:val="1"/>
        <w:spacing w:lineRule="auto" w:line="240" w:before="120" w:after="120" w:beforeAutospacing="0" w:afterAutospacing="0"/>
        <w:ind w:firstLine="227"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auto"/>
          <w:sz w:val="22"/>
          <w:u w:val="none"/>
          <w:vertAlign w:val="baseline"/>
        </w:rPr>
        <w:t xml:space="preserve">Na podstawie art. 7 ust. 1 pkt 1 i 12 w związku z art. 31 i art. 33 ust. 3 i 5 ustawy z dnia 8 marca 1990 r. o samorządzie gminnym (Dz. U. z 2024 r. poz. 1465, 1572, 1907, 1940), art. 92 ust. 1 pkt 2 ustawy z dnia 5 czerwca 1998 r. o samorządzie powiatowym (Dz.U. z 2024 r. poz. 107, 1907), art. 11 ust. 1 ustawy z dnia 21 sierpnia 1997 r.  o gospodarce nieruchomościami (Dz. U.  z 2024 r. poz. 1145, 1222, 1717, 1881) oraz art. 19 ust. 1 i 5 ustawy z dnia 21 marca 19865 r. o drogach publicznych (Dz.U. z 2024 r. poz. 230, 1222) </w:t>
      </w:r>
      <w:r>
        <w:rPr>
          <w:rFonts w:ascii="Times New Roman" w:hAnsi="Times New Roman"/>
          <w:b w:val="1"/>
          <w:i w:val="0"/>
          <w:caps w:val="0"/>
          <w:strike w:val="0"/>
          <w:color w:val="000000"/>
          <w:sz w:val="22"/>
          <w:u w:val="none" w:color="000000"/>
          <w:vertAlign w:val="baseline"/>
        </w:rPr>
        <w:t>zarządza się, co następuje:</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1.</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Przepisy ogólne</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W w:w="1007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both"/>
              <w:rPr>
                <w:rFonts w:ascii="Times New Roman" w:hAnsi="Times New Roman"/>
                <w:b w:val="0"/>
                <w:i w:val="0"/>
                <w:caps w:val="0"/>
                <w:strike w:val="0"/>
                <w:color w:val="000000"/>
                <w:sz w:val="22"/>
                <w:u w:val="none" w:color="000000"/>
                <w:vertAlign w:val="baseline"/>
              </w:rPr>
            </w:pPr>
            <w:r>
              <w:t xml:space="preserve">Wprowadza się "Gdańską Kartę dla Drzew", </w:t>
            </w:r>
            <w:r>
              <w:rPr>
                <w:lang w:val="pl-PL" w:bidi="pl-PL" w:eastAsia="pl-PL"/>
              </w:rPr>
              <w:t>określającą</w:t>
            </w:r>
            <w:r>
              <w:t xml:space="preserve"> zasady ochrony drzew oraz utrzymania i realizacji terenów zieleni na terenie miasta Gdańska.</w:t>
            </w:r>
          </w:p>
        </w:tc>
      </w:tr>
    </w:tbl>
    <w:p>
      <w:pPr>
        <w:keepNext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2.</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Standardy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 </w:t>
      </w:r>
      <w:r>
        <w:rPr>
          <w:rFonts w:ascii="Times New Roman" w:hAnsi="Times New Roman"/>
          <w:sz w:val="22"/>
        </w:rPr>
        <w:t>1. </w:t>
      </w:r>
      <w:r>
        <w:rPr>
          <w:rFonts w:ascii="Times New Roman" w:hAnsi="Times New Roman"/>
          <w:b w:val="0"/>
          <w:i w:val="0"/>
          <w:caps w:val="0"/>
          <w:strike w:val="0"/>
          <w:color w:val="000000"/>
          <w:sz w:val="22"/>
          <w:u w:val="none" w:color="000000"/>
          <w:vertAlign w:val="baseline"/>
        </w:rPr>
        <w:t>Przyjmuje się:</w:t>
      </w:r>
    </w:p>
    <w:p>
      <w:pPr>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ab/>
        <w:t>„</w:t>
      </w:r>
      <w:r>
        <w:rPr>
          <w:color w:val="000000"/>
          <w:u w:val="none" w:color="000000"/>
        </w:rPr>
        <w:t>Standard ochrony drzew i innych form zieleni w procesie inwestycyjnym</w:t>
      </w:r>
      <w:r>
        <w:rPr>
          <w:rFonts w:ascii="Times New Roman" w:hAnsi="Times New Roman"/>
          <w:b w:val="0"/>
          <w:i w:val="0"/>
          <w:caps w:val="0"/>
          <w:strike w:val="0"/>
          <w:color w:val="000000"/>
          <w:sz w:val="22"/>
          <w:u w:val="none" w:color="000000"/>
          <w:vertAlign w:val="baseline"/>
        </w:rPr>
        <w:t>”</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 stan na dzień 3</w:t>
      </w:r>
      <w:r>
        <w:rPr>
          <w:rFonts w:ascii="Times New Roman" w:hAnsi="Times New Roman"/>
          <w:b w:val="0"/>
          <w:i w:val="0"/>
          <w:caps w:val="0"/>
          <w:strike w:val="0"/>
          <w:color w:val="000000"/>
          <w:sz w:val="22"/>
          <w:u w:val="none" w:color="000000"/>
          <w:vertAlign w:val="baseline"/>
          <w:lang w:val="pl-PL" w:bidi="pl-PL" w:eastAsia="pl-PL"/>
        </w:rPr>
        <w:t>0</w:t>
      </w:r>
      <w:r>
        <w:rPr>
          <w:rFonts w:ascii="Times New Roman" w:hAnsi="Times New Roman"/>
          <w:b w:val="0"/>
          <w:i w:val="0"/>
          <w:caps w:val="0"/>
          <w:strike w:val="0"/>
          <w:color w:val="000000"/>
          <w:sz w:val="22"/>
          <w:u w:val="none" w:color="000000"/>
          <w:vertAlign w:val="baseline"/>
        </w:rPr>
        <w:t xml:space="preserve"> stycznia 2025 r. - dostępny pod adresem: </w:t>
      </w:r>
      <w:r>
        <w:fldChar w:fldCharType="begin"/>
      </w:r>
      <w:r>
        <w:instrText xml:space="preserve"> HYPERLINK "https://eur04.safelinks.protection.outlook.com/?url=https%3A%2F%2Fdownload.cloudgdansk.pl%2Fgzdiz-pl%2Fd%2F2024105744%2Fstandard-ochrony-drzew-i-innych-form-zielenie-w-procesie-inwestycyjnym.pdf&amp;data=05%7C02%7Cmaria.jazwinska%40gdansk.gda.pl%7C04308fcc6a5b4a32c11a08dd46910f18%7Cc2f1b88d9cd14cf9b805305fe0a418fc%7C0%7C0%7C638744311024355977%7CUnknown%7CTWFpbGZsb3d8eyJFbXB0eU1hcGkiOnRydWUsIlYiOiIwLjAuMDAwMCIsIlAiOiJXaW4zMiIsIkFOIjoiTWFpbCIsIldUIjoyfQ%3D%3D%7C0%7C%7C%7C&amp;sdata=g55IOMFXph7%2FK5abED9QR3gQ5HTCdQrtjf7hVHkWYEA%3D&amp;reserved=0" </w:instrText>
      </w:r>
      <w:r>
        <w:fldChar w:fldCharType="separate"/>
      </w:r>
      <w:r>
        <w:rPr>
          <w:rStyle w:val="C2"/>
        </w:rPr>
        <w:t>https://download.cloudgdansk.pl/gzdiz-pl/d/2024105744/standard-ochrony-drzew-i-innych-form-zielenie-w-procesie-inwestycyjnym.pdf</w:t>
      </w:r>
      <w:r>
        <w:fldChar w:fldCharType="end"/>
      </w:r>
      <w:r>
        <w:rPr>
          <w:rFonts w:ascii="Times New Roman" w:hAnsi="Times New Roman"/>
          <w:b w:val="0"/>
          <w:i w:val="0"/>
          <w:caps w:val="0"/>
          <w:strike w:val="0"/>
          <w:color w:val="000000"/>
          <w:sz w:val="22"/>
          <w:u w:val="none" w:color="000000"/>
          <w:vertAlign w:val="baseline"/>
        </w:rPr>
        <w:t>;</w:t>
      </w:r>
    </w:p>
    <w:p>
      <w:pPr>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ab/>
        <w:t>„</w:t>
      </w:r>
      <w:r>
        <w:rPr>
          <w:color w:val="000000"/>
          <w:u w:val="none" w:color="000000"/>
        </w:rPr>
        <w:t>Standard cięcia i pielęgnacji drzew</w:t>
      </w:r>
      <w:r>
        <w:rPr>
          <w:rFonts w:ascii="Times New Roman" w:hAnsi="Times New Roman"/>
          <w:b w:val="0"/>
          <w:i w:val="0"/>
          <w:caps w:val="0"/>
          <w:strike w:val="0"/>
          <w:color w:val="000000"/>
          <w:sz w:val="22"/>
          <w:u w:val="none" w:color="000000"/>
          <w:vertAlign w:val="baseline"/>
        </w:rPr>
        <w:t>”</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 stan na dzień 3</w:t>
      </w:r>
      <w:r>
        <w:rPr>
          <w:rFonts w:ascii="Times New Roman" w:hAnsi="Times New Roman"/>
          <w:b w:val="0"/>
          <w:i w:val="0"/>
          <w:caps w:val="0"/>
          <w:strike w:val="0"/>
          <w:color w:val="000000"/>
          <w:sz w:val="22"/>
          <w:u w:val="none" w:color="000000"/>
          <w:vertAlign w:val="baseline"/>
          <w:lang w:val="pl-PL" w:bidi="pl-PL" w:eastAsia="pl-PL"/>
        </w:rPr>
        <w:t>0</w:t>
      </w:r>
      <w:r>
        <w:rPr>
          <w:rFonts w:ascii="Times New Roman" w:hAnsi="Times New Roman"/>
          <w:b w:val="0"/>
          <w:i w:val="0"/>
          <w:caps w:val="0"/>
          <w:strike w:val="0"/>
          <w:color w:val="000000"/>
          <w:sz w:val="22"/>
          <w:u w:val="none" w:color="000000"/>
          <w:vertAlign w:val="baseline"/>
        </w:rPr>
        <w:t xml:space="preserve"> stycznia 2025 r. - dostępny pod adresem:  </w:t>
      </w:r>
      <w:r>
        <w:fldChar w:fldCharType="begin"/>
      </w:r>
      <w:r>
        <w:instrText xml:space="preserve"> HYPERLINK "https://eur04.safelinks.protection.outlook.com/?url=https%3A%2F%2Fdownload.cloudgdansk.pl%2Fgzdiz-pl%2Fd%2F2024105742%2Fstandard-ciecia-i-pielegnacji-drzew.pdf&amp;data=05%7C02%7Cmaria.jazwinska%40gdansk.gda.pl%7C04308fcc6a5b4a32c11a08dd46910f18%7Cc2f1b88d9cd14cf9b805305fe0a418fc%7C0%7C0%7C638744311024302621%7CUnknown%7CTWFpbGZsb3d8eyJFbXB0eU1hcGkiOnRydWUsIlYiOiIwLjAuMDAwMCIsIlAiOiJXaW4zMiIsIkFOIjoiTWFpbCIsIldUIjoyfQ%3D%3D%7C0%7C%7C%7C&amp;sdata=hrNoVKe5GZQtXLLbCbT%2FiupRn3CXCNvsADjlWY5T9JU%3D&amp;reserved=0" </w:instrText>
      </w:r>
      <w:r>
        <w:fldChar w:fldCharType="separate"/>
      </w:r>
      <w:r>
        <w:rPr>
          <w:rStyle w:val="C2"/>
        </w:rPr>
        <w:t>https://download.cloudgdansk.pl/gzdiz-pl/d/2024105742/standard-ciecia-i-pielegnacji-drzew.pdf</w:t>
      </w:r>
      <w:r>
        <w:fldChar w:fldCharType="end"/>
      </w:r>
      <w:r>
        <w:rPr>
          <w:rFonts w:ascii="Times New Roman" w:hAnsi="Times New Roman"/>
          <w:b w:val="0"/>
          <w:i w:val="0"/>
          <w:caps w:val="0"/>
          <w:strike w:val="0"/>
          <w:color w:val="000000"/>
          <w:sz w:val="22"/>
          <w:u w:val="none" w:color="000000"/>
          <w:vertAlign w:val="baseline"/>
        </w:rPr>
        <w:t>;</w:t>
      </w:r>
    </w:p>
    <w:p>
      <w:pPr>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ab/>
        <w:t>„</w:t>
      </w:r>
      <w:r>
        <w:rPr>
          <w:color w:val="000000"/>
          <w:u w:val="none" w:color="000000"/>
        </w:rPr>
        <w:t>Standard inspekcji i diagnostyki drzew</w:t>
      </w:r>
      <w:r>
        <w:rPr>
          <w:rFonts w:ascii="Times New Roman" w:hAnsi="Times New Roman"/>
          <w:b w:val="0"/>
          <w:i w:val="0"/>
          <w:caps w:val="0"/>
          <w:strike w:val="0"/>
          <w:color w:val="000000"/>
          <w:sz w:val="22"/>
          <w:u w:val="none" w:color="000000"/>
          <w:vertAlign w:val="baseline"/>
        </w:rPr>
        <w:t>”</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 stan na dzień 3</w:t>
      </w:r>
      <w:r>
        <w:rPr>
          <w:rFonts w:ascii="Times New Roman" w:hAnsi="Times New Roman"/>
          <w:b w:val="0"/>
          <w:i w:val="0"/>
          <w:caps w:val="0"/>
          <w:strike w:val="0"/>
          <w:color w:val="000000"/>
          <w:sz w:val="22"/>
          <w:u w:val="none" w:color="000000"/>
          <w:vertAlign w:val="baseline"/>
          <w:lang w:val="pl-PL" w:bidi="pl-PL" w:eastAsia="pl-PL"/>
        </w:rPr>
        <w:t>0</w:t>
      </w:r>
      <w:r>
        <w:rPr>
          <w:rFonts w:ascii="Times New Roman" w:hAnsi="Times New Roman"/>
          <w:b w:val="0"/>
          <w:i w:val="0"/>
          <w:caps w:val="0"/>
          <w:strike w:val="0"/>
          <w:color w:val="000000"/>
          <w:sz w:val="22"/>
          <w:u w:val="none" w:color="000000"/>
          <w:vertAlign w:val="baseline"/>
        </w:rPr>
        <w:t xml:space="preserve"> stycznia 2025 r. - dostępny pod adresem:  </w:t>
      </w:r>
      <w:r>
        <w:fldChar w:fldCharType="begin"/>
      </w:r>
      <w:r>
        <w:instrText xml:space="preserve"> HYPERLINK "https://eur04.safelinks.protection.outlook.com/?url=https%3A%2F%2Fdownload.cloudgdansk.pl%2Fgzdiz-pl%2Fd%2F2024105743%2Fstandard-inspekcji-i-diagnostyki-drzew.pdf&amp;data=05%7C02%7Cmaria.jazwinska%40gdansk.gda.pl%7C04308fcc6a5b4a32c11a08dd46910f18%7Cc2f1b88d9cd14cf9b805305fe0a418fc%7C0%7C0%7C638744311024334440%7CUnknown%7CTWFpbGZsb3d8eyJFbXB0eU1hcGkiOnRydWUsIlYiOiIwLjAuMDAwMCIsIlAiOiJXaW4zMiIsIkFOIjoiTWFpbCIsIldUIjoyfQ%3D%3D%7C0%7C%7C%7C&amp;sdata=aYM8OzL%2Bi%2BXdS8uUdGuKCISwcTyZUGSvWBXQMQ%2BWGOM%3D&amp;reserved=0" </w:instrText>
      </w:r>
      <w:r>
        <w:fldChar w:fldCharType="separate"/>
      </w:r>
      <w:r>
        <w:rPr>
          <w:rStyle w:val="C2"/>
        </w:rPr>
        <w:t>https://download.cloudgdansk.pl/gzdiz-pl/d/2024105743/standard-inspekcji-i-diagnostyki-drzew.pdf</w:t>
      </w:r>
      <w:r>
        <w:fldChar w:fldCharType="end"/>
      </w:r>
      <w:r>
        <w:rPr>
          <w:lang w:val="pl-PL" w:bidi="pl-PL" w:eastAsia="pl-PL"/>
        </w:rPr>
        <w:t>.</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 xml:space="preserve">Przyjmuje się </w:t>
      </w:r>
      <w:r>
        <w:rPr>
          <w:rFonts w:ascii="Times New Roman" w:hAnsi="Times New Roman"/>
          <w:b w:val="0"/>
          <w:i w:val="0"/>
          <w:caps w:val="0"/>
          <w:strike w:val="0"/>
          <w:color w:val="000000"/>
          <w:sz w:val="22"/>
          <w:u w:val="none" w:color="000000"/>
          <w:vertAlign w:val="baseline"/>
          <w:lang w:val="pl-PL" w:bidi="pl-PL" w:eastAsia="pl-PL"/>
        </w:rPr>
        <w:t>s</w:t>
      </w:r>
      <w:r>
        <w:rPr>
          <w:rFonts w:ascii="Times New Roman" w:hAnsi="Times New Roman"/>
          <w:b w:val="0"/>
          <w:i w:val="0"/>
          <w:caps w:val="0"/>
          <w:strike w:val="0"/>
          <w:color w:val="000000"/>
          <w:sz w:val="22"/>
          <w:u w:val="none" w:color="000000"/>
          <w:vertAlign w:val="baseline"/>
        </w:rPr>
        <w:t>tandard cyfrowego zapisu informacji o drzewach na terenie miasta Gdańska, zgodny z wymaganiami systemu GeoGdańsk</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lang w:val="pl-PL" w:bidi="pl-PL" w:eastAsia="pl-PL"/>
        </w:rPr>
        <w:t>d</w:t>
      </w:r>
      <w:r>
        <w:rPr>
          <w:rFonts w:ascii="Times New Roman" w:hAnsi="Times New Roman"/>
          <w:b w:val="0"/>
          <w:i w:val="0"/>
          <w:caps w:val="0"/>
          <w:strike w:val="0"/>
          <w:color w:val="000000"/>
          <w:sz w:val="22"/>
          <w:u w:val="none" w:color="000000"/>
          <w:vertAlign w:val="baseline"/>
        </w:rPr>
        <w:t>ane przestrzenne dostarczane przez wykonawcę w ramach realizacji opracowania lub zamówienia winny być zgodne z zasadami opisanymi niżej, chyba, że w zamówieniu określono inaczej;</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lang w:val="pl-PL" w:bidi="pl-PL" w:eastAsia="pl-PL"/>
        </w:rPr>
        <w:t>k</w:t>
      </w:r>
      <w:r>
        <w:rPr>
          <w:rFonts w:ascii="Times New Roman" w:hAnsi="Times New Roman"/>
          <w:b w:val="0"/>
          <w:i w:val="0"/>
          <w:caps w:val="0"/>
          <w:strike w:val="0"/>
          <w:color w:val="000000"/>
          <w:sz w:val="22"/>
          <w:u w:val="none" w:color="000000"/>
          <w:vertAlign w:val="baseline"/>
        </w:rPr>
        <w:t>ażda dana przestrzenna musi mieć wskazany lub opisany układ odniesienia:</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lang w:val="pl-PL" w:bidi="pl-PL" w:eastAsia="pl-PL"/>
        </w:rPr>
        <w:t>j</w:t>
      </w:r>
      <w:r>
        <w:rPr>
          <w:rFonts w:ascii="Times New Roman" w:hAnsi="Times New Roman"/>
          <w:b w:val="0"/>
          <w:i w:val="0"/>
          <w:caps w:val="0"/>
          <w:strike w:val="0"/>
          <w:color w:val="000000"/>
          <w:sz w:val="22"/>
          <w:u w:val="none" w:color="000000"/>
          <w:vertAlign w:val="baseline"/>
        </w:rPr>
        <w:t>ako podstawowy układ odniesienia przestrzennego należy stosować układ współrzędnych PL-2000 strefa 6 (EPSG:2177),</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lang w:val="pl-PL" w:bidi="pl-PL" w:eastAsia="pl-PL"/>
        </w:rPr>
        <w:t>d</w:t>
      </w:r>
      <w:r>
        <w:rPr>
          <w:rFonts w:ascii="Times New Roman" w:hAnsi="Times New Roman"/>
          <w:b w:val="0"/>
          <w:i w:val="0"/>
          <w:caps w:val="0"/>
          <w:strike w:val="0"/>
          <w:color w:val="000000"/>
          <w:sz w:val="22"/>
          <w:u w:val="none" w:color="000000"/>
          <w:vertAlign w:val="baseline"/>
        </w:rPr>
        <w:t>la danych przestrzennych zawierających informacje o wysokości należy stosować układ wysokościowy PL-EVRF2007-NH,</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c) </w:t>
      </w:r>
      <w:r>
        <w:rPr>
          <w:rFonts w:ascii="Times New Roman" w:hAnsi="Times New Roman"/>
          <w:b w:val="0"/>
          <w:i w:val="0"/>
          <w:caps w:val="0"/>
          <w:strike w:val="0"/>
          <w:color w:val="000000"/>
          <w:sz w:val="22"/>
          <w:u w:val="none" w:color="000000"/>
          <w:vertAlign w:val="baseline"/>
          <w:lang w:val="pl-PL" w:bidi="pl-PL" w:eastAsia="pl-PL"/>
        </w:rPr>
        <w:t>j</w:t>
      </w:r>
      <w:r>
        <w:rPr>
          <w:rFonts w:ascii="Times New Roman" w:hAnsi="Times New Roman"/>
          <w:b w:val="0"/>
          <w:i w:val="0"/>
          <w:caps w:val="0"/>
          <w:strike w:val="0"/>
          <w:color w:val="000000"/>
          <w:sz w:val="22"/>
          <w:u w:val="none" w:color="000000"/>
          <w:vertAlign w:val="baseline"/>
        </w:rPr>
        <w:t>ako preferowane formaty wskazuje się shapefile (SHP z plikami towarzyszącymi, minimum SHX, DBF, CPG i PRJ) i geobaza ESRI (GDB z powiązanymi plikami);</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nformacje powiązane (zwane również atrybutami danych przestrzennych):</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nformacje powiązane muszą posiadać co najmniej jeden element pozwalający zestawiać, łączyć i porównywać je między sobą w tym jednoznacznie wskazywać lokalizację zjawiska, którego dotyczą oraz umożliwiać identyfikację pojedynczych obiektów,</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lang w:val="pl-PL" w:bidi="pl-PL" w:eastAsia="pl-PL"/>
        </w:rPr>
        <w:t>a</w:t>
      </w:r>
      <w:r>
        <w:rPr>
          <w:rFonts w:ascii="Times New Roman" w:hAnsi="Times New Roman"/>
          <w:b w:val="0"/>
          <w:i w:val="0"/>
          <w:caps w:val="0"/>
          <w:strike w:val="0"/>
          <w:color w:val="000000"/>
          <w:sz w:val="22"/>
          <w:u w:val="none" w:color="000000"/>
          <w:vertAlign w:val="baseline"/>
        </w:rPr>
        <w:t>trybuty opisujące lokalizację muszą zawierać przynajmniej:</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współrzędne w zastosowanym układzie odniesienia,</w:t>
      </w:r>
    </w:p>
    <w:p>
      <w:pPr>
        <w:keepNext w:val="0"/>
        <w:keepLines w:val="1"/>
        <w:spacing w:lineRule="auto" w:line="240" w:before="120" w:after="120" w:beforeAutospacing="0" w:afterAutospacing="0"/>
        <w:ind w:hanging="113" w:left="794" w:right="0"/>
        <w:jc w:val="both"/>
        <w:rPr>
          <w:rFonts w:ascii="Times New Roman" w:hAnsi="Times New Roman"/>
          <w:b w:val="0"/>
          <w:i w:val="0"/>
          <w:caps w:val="0"/>
          <w:strike w:val="0"/>
          <w:color w:val="000000"/>
          <w:sz w:val="22"/>
          <w:u w:val="none" w:color="000000"/>
          <w:vertAlign w:val="baseline"/>
        </w:rPr>
      </w:pPr>
      <w:r>
        <w:t>- </w:t>
      </w:r>
      <w:r>
        <w:rPr>
          <w:rFonts w:ascii="Times New Roman" w:hAnsi="Times New Roman"/>
          <w:b w:val="0"/>
          <w:i w:val="0"/>
          <w:caps w:val="0"/>
          <w:strike w:val="0"/>
          <w:color w:val="000000"/>
          <w:sz w:val="22"/>
          <w:u w:val="none" w:color="000000"/>
          <w:vertAlign w:val="baseline"/>
        </w:rPr>
        <w:t>nr działki i obrębu nieruchomości, na której się znajduje obiekt zgodny z danymi przechowywanymi w bazie danych Wydziału Geodezji,</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c) </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nformacje o współrzędnych muszą być zapisywane z dokładnością pozwalającą na jednoznaczną lokalizację obiektów w skali odwzorowania 1:1000 albo większej i rozróżnienie pomiędzy obiektami takiego samego typu,</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d)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 xml:space="preserve"> miarę możliwości należy dążyć do optymalizacji atrybutów danych poprzez słownikowanie ich wartości,</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e) </w:t>
      </w:r>
      <w:r>
        <w:rPr>
          <w:rFonts w:ascii="Times New Roman" w:hAnsi="Times New Roman"/>
          <w:b w:val="0"/>
          <w:i w:val="0"/>
          <w:caps w:val="0"/>
          <w:strike w:val="0"/>
          <w:color w:val="000000"/>
          <w:sz w:val="22"/>
          <w:u w:val="none" w:color="000000"/>
          <w:vertAlign w:val="baseline"/>
          <w:lang w:val="pl-PL" w:bidi="pl-PL" w:eastAsia="pl-PL"/>
        </w:rPr>
        <w:t>j</w:t>
      </w:r>
      <w:r>
        <w:rPr>
          <w:rFonts w:ascii="Times New Roman" w:hAnsi="Times New Roman"/>
          <w:b w:val="0"/>
          <w:i w:val="0"/>
          <w:caps w:val="0"/>
          <w:strike w:val="0"/>
          <w:color w:val="000000"/>
          <w:sz w:val="22"/>
          <w:u w:val="none" w:color="000000"/>
          <w:vertAlign w:val="baseline"/>
        </w:rPr>
        <w:t>ako podstawowy słownik nazw ulic wskazuje się TERYT ULIC. W przypadku pełnych adresów należy podawać je jako oddzielne atrybuty (np. nazwę ulicy, nr punktu adresowego i nr lokalu oddzielnie),</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f) </w:t>
      </w:r>
      <w:r>
        <w:rPr>
          <w:rFonts w:ascii="Times New Roman" w:hAnsi="Times New Roman"/>
          <w:b w:val="0"/>
          <w:i w:val="0"/>
          <w:caps w:val="0"/>
          <w:strike w:val="0"/>
          <w:color w:val="000000"/>
          <w:sz w:val="22"/>
          <w:u w:val="none" w:color="000000"/>
          <w:vertAlign w:val="baseline"/>
          <w:lang w:val="pl-PL" w:bidi="pl-PL" w:eastAsia="pl-PL"/>
        </w:rPr>
        <w:t>o</w:t>
      </w:r>
      <w:r>
        <w:rPr>
          <w:rFonts w:ascii="Times New Roman" w:hAnsi="Times New Roman"/>
          <w:b w:val="0"/>
          <w:i w:val="0"/>
          <w:caps w:val="0"/>
          <w:strike w:val="0"/>
          <w:color w:val="000000"/>
          <w:sz w:val="22"/>
          <w:u w:val="none" w:color="000000"/>
          <w:vertAlign w:val="baseline"/>
        </w:rPr>
        <w:t>znaczenie działek geodezyjnych należy podawać jako identyfikator działki albo numer obrębu i numer działki jako oddzielne atrybuty,</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g) </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nformacje geometryczne muszą być poprawne topologicznie (połączenia między obiektami na mapie) na poziomie umożliwiającym przetwarzanie danych przestrzennych i zapewniającym spójność danych,</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h) </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nformacje służące do wizualizacji jako etykiety stosowane na mapach powinny być przygotowane jako atrybuty danych, których dotyczą,</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i) </w:t>
      </w:r>
      <w:r>
        <w:rPr>
          <w:rFonts w:ascii="Times New Roman" w:hAnsi="Times New Roman"/>
          <w:b w:val="0"/>
          <w:i w:val="0"/>
          <w:caps w:val="0"/>
          <w:strike w:val="0"/>
          <w:color w:val="000000"/>
          <w:sz w:val="22"/>
          <w:u w:val="none" w:color="000000"/>
          <w:vertAlign w:val="baseline"/>
          <w:lang w:val="pl-PL" w:bidi="pl-PL" w:eastAsia="pl-PL"/>
        </w:rPr>
        <w:t>a</w:t>
      </w:r>
      <w:r>
        <w:rPr>
          <w:rFonts w:ascii="Times New Roman" w:hAnsi="Times New Roman"/>
          <w:b w:val="0"/>
          <w:i w:val="0"/>
          <w:caps w:val="0"/>
          <w:strike w:val="0"/>
          <w:color w:val="000000"/>
          <w:sz w:val="22"/>
          <w:u w:val="none" w:color="000000"/>
          <w:vertAlign w:val="baseline"/>
        </w:rPr>
        <w:t>trybuty należy zapisywać z zastosowaniem tablic kodowania znaków w standardzie UTF-8,</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j)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 xml:space="preserve"> marę możliwości przy pozyskiwaniu dokumentacji zdjęciowej pojedyncze fotografie należy opisywać lokalizacją z jakiego miejsca je zrobiono, tj. zapisywać w metadanych geotagi a nazwy nadawać zgodne z numer inwentaryzacyjnym drzewa</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w:t>
      </w:r>
      <w:r>
        <w:rPr>
          <w:rFonts w:ascii="Times New Roman" w:hAnsi="Times New Roman"/>
          <w:sz w:val="22"/>
          <w:lang w:val="pl-PL" w:bidi="pl-PL" w:eastAsia="pl-PL"/>
        </w:rPr>
        <w:t>)</w:t>
      </w:r>
      <w:r>
        <w:rPr>
          <w:rFonts w:ascii="Times New Roman" w:hAnsi="Times New Roman"/>
          <w:sz w:val="22"/>
        </w:rPr>
        <w:t> </w:t>
      </w:r>
      <w:r>
        <w:rPr>
          <w:rFonts w:ascii="Times New Roman" w:hAnsi="Times New Roman"/>
          <w:b w:val="0"/>
          <w:i w:val="0"/>
          <w:caps w:val="0"/>
          <w:strike w:val="0"/>
          <w:color w:val="000000"/>
          <w:sz w:val="22"/>
          <w:u w:val="none" w:color="000000"/>
          <w:vertAlign w:val="baseline"/>
        </w:rPr>
        <w:t>Zasady związane z bazą danych (nazywanie, słowniki, gospodarze):</w:t>
      </w:r>
    </w:p>
    <w:p>
      <w:pPr>
        <w:keepNext w:val="0"/>
        <w:keepLines w:val="1"/>
        <w:spacing w:lineRule="auto" w:line="240" w:before="120" w:after="120" w:beforeAutospacing="0" w:afterAutospacing="0"/>
        <w:ind w:hanging="227" w:left="22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lang w:val="pl-PL" w:bidi="pl-PL" w:eastAsia="pl-PL"/>
        </w:rPr>
        <w:t>n</w:t>
      </w:r>
      <w:r>
        <w:rPr>
          <w:rFonts w:ascii="Times New Roman" w:hAnsi="Times New Roman"/>
          <w:b w:val="0"/>
          <w:i w:val="0"/>
          <w:caps w:val="0"/>
          <w:strike w:val="0"/>
          <w:color w:val="000000"/>
          <w:sz w:val="22"/>
          <w:u w:val="none" w:color="000000"/>
          <w:vertAlign w:val="baseline"/>
        </w:rPr>
        <w:t xml:space="preserve">azwy atrybutów </w:t>
      </w:r>
      <w:r>
        <w:rPr>
          <w:rFonts w:ascii="Times New Roman" w:hAnsi="Times New Roman"/>
          <w:b w:val="0"/>
          <w:i w:val="0"/>
          <w:caps w:val="0"/>
          <w:strike w:val="0"/>
          <w:color w:val="000000"/>
          <w:sz w:val="22"/>
          <w:u w:val="none" w:color="000000"/>
          <w:vertAlign w:val="baseline"/>
          <w:lang w:val="pl-PL" w:bidi="pl-PL" w:eastAsia="pl-PL"/>
        </w:rPr>
        <w:t>tworzy się</w:t>
      </w:r>
      <w:r>
        <w:rPr>
          <w:rFonts w:ascii="Times New Roman" w:hAnsi="Times New Roman"/>
          <w:b w:val="0"/>
          <w:i w:val="0"/>
          <w:caps w:val="0"/>
          <w:strike w:val="0"/>
          <w:color w:val="000000"/>
          <w:sz w:val="22"/>
          <w:u w:val="none" w:color="000000"/>
          <w:vertAlign w:val="baseline"/>
        </w:rPr>
        <w:t xml:space="preserve"> zgodnie z zasadami</w:t>
      </w:r>
      <w:r>
        <w:rPr>
          <w:rFonts w:ascii="Times New Roman" w:hAnsi="Times New Roman"/>
          <w:b w:val="0"/>
          <w:i w:val="0"/>
          <w:caps w:val="0"/>
          <w:strike w:val="0"/>
          <w:color w:val="000000"/>
          <w:sz w:val="22"/>
          <w:u w:val="none" w:color="000000"/>
          <w:vertAlign w:val="baseline"/>
          <w:lang w:val="pl-PL" w:bidi="pl-PL" w:eastAsia="pl-PL"/>
        </w:rPr>
        <w:t xml:space="preserve"> zawartymi w poniższej tabeli,</w:t>
      </w:r>
      <w:r>
        <w:rPr>
          <w:rFonts w:ascii="Times New Roman" w:hAnsi="Times New Roman"/>
          <w:b w:val="0"/>
          <w:i w:val="0"/>
          <w:caps w:val="0"/>
          <w:strike w:val="0"/>
          <w:color w:val="000000"/>
          <w:sz w:val="22"/>
          <w:u w:val="none" w:color="000000"/>
          <w:vertAlign w:val="baseline"/>
        </w:rPr>
        <w:t xml:space="preserve"> tzn. bez niektórych znaków specjalnych i polskich liter,</w:t>
      </w:r>
    </w:p>
    <w:p>
      <w:pPr>
        <w:keepNext w:val="0"/>
        <w:keepLines w:val="1"/>
        <w:spacing w:lineRule="auto" w:line="240" w:before="120" w:after="120" w:beforeAutospacing="0" w:afterAutospacing="0"/>
        <w:ind w:hanging="227" w:left="227" w:right="0"/>
        <w:jc w:val="both"/>
        <w:rPr>
          <w:color w:val="000000"/>
          <w:u w:val="none" w:color="000000"/>
        </w:rPr>
      </w:pPr>
      <w:r>
        <w:rPr>
          <w:rFonts w:ascii="Times New Roman" w:hAnsi="Times New Roman"/>
          <w:b w:val="0"/>
          <w:i w:val="0"/>
          <w:caps w:val="0"/>
          <w:strike w:val="0"/>
          <w:color w:val="000000"/>
          <w:sz w:val="22"/>
          <w:u w:val="none" w:color="000000"/>
          <w:vertAlign w:val="baseline"/>
        </w:rPr>
        <w:t>b) </w:t>
      </w:r>
      <w:r>
        <w:rPr>
          <w:color w:val="000000"/>
          <w:u w:val="none" w:color="000000"/>
          <w:lang w:val="pl-PL" w:bidi="pl-PL" w:eastAsia="pl-PL"/>
        </w:rPr>
        <w:t>w</w:t>
      </w:r>
      <w:r>
        <w:rPr>
          <w:color w:val="000000"/>
          <w:u w:val="none" w:color="000000"/>
        </w:rPr>
        <w:t xml:space="preserve">artości określające atrybuty powinny być w jak największym stopniu zesłownikowane, </w:t>
      </w:r>
      <w:r>
        <w:rPr>
          <w:color w:val="000000"/>
          <w:u w:val="none" w:color="000000"/>
          <w:lang w:val="pl-PL" w:bidi="pl-PL" w:eastAsia="pl-PL"/>
        </w:rPr>
        <w:t>i</w:t>
      </w:r>
      <w:r>
        <w:rPr>
          <w:color w:val="000000"/>
          <w:u w:val="none" w:color="000000"/>
        </w:rPr>
        <w:t xml:space="preserve"> zapisywane zgodnie zasadami</w:t>
      </w:r>
      <w:r>
        <w:rPr>
          <w:color w:val="000000"/>
          <w:u w:val="none" w:color="000000"/>
          <w:lang w:val="pl-PL" w:bidi="pl-PL" w:eastAsia="pl-PL"/>
        </w:rPr>
        <w:t xml:space="preserve"> </w:t>
      </w:r>
      <w:r>
        <w:rPr>
          <w:color w:val="000000"/>
          <w:u w:val="none" w:color="000000"/>
        </w:rPr>
        <w:t>zawartymi w poniższej tabeli, tak jak w przypadku nazw atrybutów,</w:t>
      </w:r>
    </w:p>
    <w:tbl>
      <w:tblPr>
        <w:tblW w:w="9980" w:type="dxa"/>
        <w:tblInd w:w="168" w:type="dxa"/>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Layout w:type="fixed"/>
        <w:tblLook w:val="04A0"/>
      </w:tblPr>
      <w:tblGrid/>
      <w:tr>
        <w:trPr>
          <w:gridBefore w:val="0"/>
          <w:trHeight w:hRule="atLeast" w:val="585"/>
        </w:trPr>
        <w:tc>
          <w:tcPr>
            <w:tcW w:w="9980" w:type="dxa"/>
            <w:gridSpan w:val="5"/>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vAlign w:val="center"/>
          </w:tcPr>
          <w:p>
            <w:pPr>
              <w:jc w:val="center"/>
              <w:rPr>
                <w:color w:val="000000"/>
                <w:u w:val="none" w:color="000000"/>
              </w:rPr>
            </w:pPr>
            <w:r>
              <w:t>Zasady tworzenia nazw dla tabel, nazw kolumn i słowników w fizycznym modelu bazy danych</w:t>
            </w:r>
          </w:p>
        </w:tc>
      </w:tr>
      <w:tr>
        <w:trPr>
          <w:gridBefore w:val="0"/>
          <w:trHeight w:hRule="atLeast" w:val="585"/>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pPr>
            <w:r>
              <w:t>Lp.</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Zasady</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Tabela</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Kolumna</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Słownik</w:t>
            </w:r>
          </w:p>
        </w:tc>
      </w:tr>
      <w:tr>
        <w:trPr>
          <w:gridBefore w:val="0"/>
          <w:trHeight w:hRule="atLeast" w:val="2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1</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unikatowych nazw, zrozumiałych dla całej organizacji.</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r>
        <w:trPr>
          <w:gridBefore w:val="0"/>
          <w:trHeight w:hRule="atLeast" w:val="5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2</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nazw, które dokładnie, czytelnie i jednoznacznie identyfikują podmiot tabeli.</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r>
      <w:tr>
        <w:trPr>
          <w:gridBefore w:val="0"/>
          <w:trHeight w:hRule="atLeast" w:val="5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3</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W przypadku nazw tabel wieloczłonowych, pierwszy rzeczownik określa podmiot danych, kolejne zakres danych.</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r>
      <w:tr>
        <w:trPr>
          <w:gridBefore w:val="0"/>
          <w:trHeight w:hRule="atLeast" w:val="5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4</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nazw, które dokładnie, czytelnie i jednoznacznie identyfikują cechę, którą reprezentuje pole.</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r>
      <w:tr>
        <w:trPr>
          <w:gridBefore w:val="0"/>
          <w:trHeight w:hRule="atLeast" w:val="5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5</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minimalnej liczby słów niezbędnych do przekazania znaczenia (maksymalna długość - 35 znaków).</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r>
        <w:trPr>
          <w:gridBefore w:val="0"/>
          <w:trHeight w:hRule="atLeast" w:val="855"/>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6</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Niestosowanie akronimów i skrótów. Wyjątek stanowić mogą skróty, które są jednoznacznie interpretowane przez organizację, np. PSP, SOR, UMG.</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r>
        <w:trPr>
          <w:gridBefore w:val="0"/>
          <w:trHeight w:hRule="atLeast" w:val="2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7</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formy rzeczownika w liczbie mnogiej.</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r>
      <w:tr>
        <w:trPr>
          <w:gridBefore w:val="0"/>
          <w:trHeight w:hRule="atLeast" w:val="27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8</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Stosowanie formy rzeczownika w liczbie pojedynczej.</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nie 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r>
        <w:trPr>
          <w:gridBefore w:val="0"/>
          <w:trHeight w:hRule="atLeast" w:val="1330"/>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9</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Nazwy pisane wielkimi literami. W przypadku stosowania nazw składających się z więcej niż jednego członu, oddzielenie poszczególnych członów przy pomocy znaku podkreślenia '_'.</w:t>
            </w:r>
          </w:p>
          <w:p>
            <w:pPr>
              <w:rPr>
                <w:color w:val="000000"/>
                <w:u w:val="none" w:color="000000"/>
              </w:rPr>
            </w:pP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r>
        <w:trPr>
          <w:gridBefore w:val="0"/>
          <w:trHeight w:hRule="atLeast" w:val="585"/>
        </w:trPr>
        <w:tc>
          <w:tcPr>
            <w:tcW w:w="525"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r>
              <w:t>10</w:t>
            </w:r>
          </w:p>
        </w:tc>
        <w:tc>
          <w:tcPr>
            <w:tcW w:w="4961"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rPr>
                <w:color w:val="000000"/>
                <w:u w:val="none" w:color="000000"/>
              </w:rPr>
            </w:pPr>
            <w:r>
              <w:t>Nazwy bez użycia znaków specjalnych i polskich znaków. Unikanie znaków interpunkcyjnych i cyfr.</w:t>
            </w:r>
          </w:p>
        </w:tc>
        <w:tc>
          <w:tcPr>
            <w:tcW w:w="158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6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c>
          <w:tcPr>
            <w:tcW w:w="1412" w:type="dxa"/>
            <w:tcBorders>
              <w:top w:val="single" w:sz="2" w:space="0" w:shadow="0" w:frame="0" w:color="000000"/>
              <w:left w:val="single" w:sz="2" w:space="0" w:shadow="0" w:frame="0" w:color="000000"/>
              <w:bottom w:val="single" w:sz="2" w:space="0" w:shadow="0" w:frame="0" w:color="000000"/>
              <w:right w:val="single" w:sz="2" w:space="0" w:shadow="0" w:frame="0" w:color="000000"/>
            </w:tcBorders>
            <w:shd w:val="nil" w:color="auto" w:fill="auto"/>
          </w:tcPr>
          <w:p>
            <w:pPr>
              <w:jc w:val="center"/>
              <w:rPr>
                <w:color w:val="000000"/>
                <w:u w:val="none" w:color="000000"/>
              </w:rPr>
            </w:pPr>
            <w:r>
              <w:t>dotyczy</w:t>
            </w:r>
          </w:p>
        </w:tc>
      </w:tr>
    </w:tbl>
    <w:p>
      <w:pPr>
        <w:keepNext w:val="0"/>
        <w:keepLines w:val="1"/>
        <w:spacing w:lineRule="auto" w:line="240" w:before="120" w:after="120" w:beforeAutospacing="0" w:afterAutospacing="0"/>
        <w:ind w:hanging="227" w:left="22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lang w:val="pl-PL" w:bidi="pl-PL" w:eastAsia="pl-PL"/>
        </w:rPr>
        <w:t>c</w:t>
      </w:r>
      <w:r>
        <w:rPr>
          <w:rFonts w:ascii="Times New Roman" w:hAnsi="Times New Roman"/>
          <w:sz w:val="22"/>
        </w:rPr>
        <w:t>)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artości atrybutowych nie należy (z wyłączeniem uzasadnionej konieczności) przedstawiać jako połączenie danych liczbowych z danymi tekstowymi bądź znakami specjalnymi. Należy zorganizować atrybuty w taki sposób, aby dane o konkretnym rodzaju (liczbowe lub tekstowe) były wartościami oddzielnych atrybutów</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Standardy, o których mowa w ust. 1 i 2, zwane łącznie "Standardami", stosowane będę w stosunku do drzew i innych form zieleni znajdujących się na:</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nieruchomościach gruntowych, stanowiących przedmiot własności Gminy Miasta Gdańska (z wyjątkiem nieruchomości gruntowych oddanych w użytkowanie wieczyste);</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nieruchomościach gruntowych, stanowiących przedmiot własności Skarbu Państwa (z wyjątkiem nieruchomości gruntowych oddanych w użytkowanie wieczyste)</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rPr>
        <w:t>którymi Prezydent Miasta Gdańska gospodaruje jako starosta wykonujący zadania z zakresu administracji rządowej,</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rPr>
        <w:t>znajdujących się w pasach drogowych dróg publicznych, w stosunku do których Prezydent Miasta Gdańska jest zarządcą.</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Standardy nie mają zastosowania w stosunku do drzew i innych form zieleni znajdujących się na gruntach położonych na terenie lasów komunalnych i cmentarzy komunalnych.</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Standardy nie mają zastosowania w przypadku nagłych sytuacji awaryjnych, w których priorytetem jest przywrócenie sprawnego funkcjonowania infrastruktury miejskiej.</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 </w:t>
      </w:r>
      <w:r>
        <w:rPr>
          <w:rFonts w:ascii="Times New Roman" w:hAnsi="Times New Roman"/>
          <w:b w:val="0"/>
          <w:i w:val="0"/>
          <w:caps w:val="0"/>
          <w:strike w:val="0"/>
          <w:color w:val="000000"/>
          <w:sz w:val="22"/>
          <w:u w:val="none" w:color="000000"/>
          <w:vertAlign w:val="baseline"/>
        </w:rPr>
        <w:t>Zobowiązuje się Dyrektora Gdańskiego Zarządu Dróg i Zieleni we współpracy z Wydziałem Ekologii i Energetyki Urzędu Miejskiego w Gdańsku oraz jednostk</w:t>
      </w:r>
      <w:r>
        <w:rPr>
          <w:rFonts w:ascii="Times New Roman" w:hAnsi="Times New Roman"/>
          <w:b w:val="0"/>
          <w:i w:val="0"/>
          <w:caps w:val="0"/>
          <w:strike w:val="0"/>
          <w:color w:val="000000"/>
          <w:sz w:val="22"/>
          <w:u w:val="none" w:color="000000"/>
          <w:vertAlign w:val="baseline"/>
          <w:lang w:val="pl-PL" w:bidi="pl-PL" w:eastAsia="pl-PL"/>
        </w:rPr>
        <w:t>ami</w:t>
      </w:r>
      <w:r>
        <w:rPr>
          <w:rFonts w:ascii="Times New Roman" w:hAnsi="Times New Roman"/>
          <w:b w:val="0"/>
          <w:i w:val="0"/>
          <w:caps w:val="0"/>
          <w:strike w:val="0"/>
          <w:color w:val="000000"/>
          <w:sz w:val="22"/>
          <w:u w:val="none" w:color="000000"/>
          <w:vertAlign w:val="baseline"/>
        </w:rPr>
        <w:t xml:space="preserve"> organizacyjn</w:t>
      </w:r>
      <w:r>
        <w:rPr>
          <w:rFonts w:ascii="Times New Roman" w:hAnsi="Times New Roman"/>
          <w:b w:val="0"/>
          <w:i w:val="0"/>
          <w:caps w:val="0"/>
          <w:strike w:val="0"/>
          <w:color w:val="000000"/>
          <w:sz w:val="22"/>
          <w:u w:val="none" w:color="000000"/>
          <w:vertAlign w:val="baseline"/>
          <w:lang w:val="pl-PL" w:bidi="pl-PL" w:eastAsia="pl-PL"/>
        </w:rPr>
        <w:t>ymi</w:t>
      </w:r>
      <w:r>
        <w:rPr>
          <w:rFonts w:ascii="Times New Roman" w:hAnsi="Times New Roman"/>
          <w:b w:val="0"/>
          <w:i w:val="0"/>
          <w:caps w:val="0"/>
          <w:strike w:val="0"/>
          <w:color w:val="000000"/>
          <w:sz w:val="22"/>
          <w:u w:val="none" w:color="000000"/>
          <w:vertAlign w:val="baseline"/>
        </w:rPr>
        <w:t xml:space="preserve"> Gminy Miasta Gdańska</w:t>
      </w:r>
      <w:r>
        <w:rPr>
          <w:rFonts w:ascii="Times New Roman" w:hAnsi="Times New Roman"/>
          <w:b w:val="0"/>
          <w:i w:val="0"/>
          <w:caps w:val="0"/>
          <w:strike w:val="0"/>
          <w:color w:val="000000"/>
          <w:sz w:val="22"/>
          <w:u w:val="none" w:color="000000"/>
          <w:vertAlign w:val="baseline"/>
          <w:lang w:val="pl-PL" w:bidi="pl-PL" w:eastAsia="pl-PL"/>
        </w:rPr>
        <w:t>:</w:t>
      </w:r>
      <w:r>
        <w:rPr>
          <w:rFonts w:ascii="Times New Roman" w:hAnsi="Times New Roman"/>
          <w:b w:val="0"/>
          <w:i w:val="0"/>
          <w:caps w:val="0"/>
          <w:strike w:val="0"/>
          <w:color w:val="000000"/>
          <w:sz w:val="22"/>
          <w:u w:val="none" w:color="000000"/>
          <w:vertAlign w:val="baseline"/>
        </w:rPr>
        <w:t xml:space="preserve"> </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Dyrekcja Rozbudowy Miasta Gdańska;</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Gdański Ogród Zoologiczny;</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Gdański Ośrodek Sportu;</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Gdański Zarząd Dróg i Zieleni;</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Gdańskie Nieruchomości Samorządowy Zakład Budżetowy;</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b w:val="0"/>
          <w:i w:val="0"/>
          <w:caps w:val="0"/>
          <w:strike w:val="0"/>
          <w:color w:val="000000"/>
          <w:sz w:val="22"/>
          <w:u w:val="none" w:color="000000"/>
          <w:vertAlign w:val="baseline"/>
        </w:rPr>
        <w:t>Hevelianum;</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7) </w:t>
      </w:r>
      <w:r>
        <w:rPr>
          <w:rFonts w:ascii="Times New Roman" w:hAnsi="Times New Roman"/>
          <w:b w:val="0"/>
          <w:i w:val="0"/>
          <w:caps w:val="0"/>
          <w:strike w:val="0"/>
          <w:color w:val="000000"/>
          <w:sz w:val="22"/>
          <w:u w:val="none" w:color="000000"/>
          <w:vertAlign w:val="baseline"/>
        </w:rPr>
        <w:t>Arena Gdańsk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8) </w:t>
      </w:r>
      <w:r>
        <w:rPr>
          <w:rFonts w:ascii="Times New Roman" w:hAnsi="Times New Roman"/>
          <w:b w:val="0"/>
          <w:i w:val="0"/>
          <w:caps w:val="0"/>
          <w:strike w:val="0"/>
          <w:color w:val="000000"/>
          <w:sz w:val="22"/>
          <w:u w:val="none" w:color="000000"/>
          <w:vertAlign w:val="baseline"/>
        </w:rPr>
        <w:t>Gdańska Agencja Rozwoju Gospodarczego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9) </w:t>
      </w:r>
      <w:r>
        <w:rPr>
          <w:rFonts w:ascii="Times New Roman" w:hAnsi="Times New Roman"/>
          <w:b w:val="0"/>
          <w:i w:val="0"/>
          <w:caps w:val="0"/>
          <w:strike w:val="0"/>
          <w:color w:val="000000"/>
          <w:sz w:val="22"/>
          <w:u w:val="none" w:color="000000"/>
          <w:vertAlign w:val="baseline"/>
        </w:rPr>
        <w:t>Gdańska Infrastruktura Społeczna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10) </w:t>
      </w:r>
      <w:r>
        <w:rPr>
          <w:rFonts w:ascii="Times New Roman" w:hAnsi="Times New Roman"/>
          <w:b w:val="0"/>
          <w:i w:val="0"/>
          <w:caps w:val="0"/>
          <w:strike w:val="0"/>
          <w:color w:val="000000"/>
          <w:sz w:val="22"/>
          <w:u w:val="none" w:color="000000"/>
          <w:vertAlign w:val="baseline"/>
        </w:rPr>
        <w:t>Gdańska Infrastruktura Wodociągowo-Kanalizacyjna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11) </w:t>
      </w:r>
      <w:r>
        <w:rPr>
          <w:rFonts w:ascii="Times New Roman" w:hAnsi="Times New Roman"/>
          <w:b w:val="0"/>
          <w:i w:val="0"/>
          <w:caps w:val="0"/>
          <w:strike w:val="0"/>
          <w:color w:val="000000"/>
          <w:sz w:val="22"/>
          <w:u w:val="none" w:color="000000"/>
          <w:vertAlign w:val="baseline"/>
        </w:rPr>
        <w:t>Gdańskie Autobusy i Tramwaje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12) </w:t>
      </w:r>
      <w:r>
        <w:rPr>
          <w:rFonts w:ascii="Times New Roman" w:hAnsi="Times New Roman"/>
          <w:b w:val="0"/>
          <w:i w:val="0"/>
          <w:caps w:val="0"/>
          <w:strike w:val="0"/>
          <w:color w:val="000000"/>
          <w:sz w:val="22"/>
          <w:u w:val="none" w:color="000000"/>
          <w:vertAlign w:val="baseline"/>
        </w:rPr>
        <w:t>Gdańskie Towarzystwo Budownictwa Społecznego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13) </w:t>
      </w:r>
      <w:r>
        <w:rPr>
          <w:rFonts w:ascii="Times New Roman" w:hAnsi="Times New Roman"/>
          <w:b w:val="0"/>
          <w:i w:val="0"/>
          <w:caps w:val="0"/>
          <w:strike w:val="0"/>
          <w:color w:val="000000"/>
          <w:sz w:val="22"/>
          <w:u w:val="none" w:color="000000"/>
          <w:vertAlign w:val="baseline"/>
        </w:rPr>
        <w:t>Gdańskie Usługi Komunalne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14) </w:t>
      </w:r>
      <w:r>
        <w:rPr>
          <w:rFonts w:ascii="Times New Roman" w:hAnsi="Times New Roman"/>
          <w:b w:val="0"/>
          <w:i w:val="0"/>
          <w:caps w:val="0"/>
          <w:strike w:val="0"/>
          <w:color w:val="000000"/>
          <w:sz w:val="22"/>
          <w:u w:val="none" w:color="000000"/>
          <w:vertAlign w:val="baseline"/>
        </w:rPr>
        <w:t>Gdańskie Wodociągi S.A.;</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15) </w:t>
      </w:r>
      <w:r>
        <w:rPr>
          <w:rFonts w:ascii="Times New Roman" w:hAnsi="Times New Roman"/>
          <w:b w:val="0"/>
          <w:i w:val="0"/>
          <w:caps w:val="0"/>
          <w:strike w:val="0"/>
          <w:color w:val="000000"/>
          <w:sz w:val="22"/>
          <w:u w:val="none" w:color="000000"/>
          <w:vertAlign w:val="baseline"/>
        </w:rPr>
        <w:t>Gdańskie Wody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16) </w:t>
      </w:r>
      <w:r>
        <w:rPr>
          <w:rFonts w:ascii="Times New Roman" w:hAnsi="Times New Roman"/>
          <w:b w:val="0"/>
          <w:i w:val="0"/>
          <w:caps w:val="0"/>
          <w:strike w:val="0"/>
          <w:color w:val="000000"/>
          <w:sz w:val="22"/>
          <w:u w:val="none" w:color="000000"/>
          <w:vertAlign w:val="baseline"/>
        </w:rPr>
        <w:t>Port Czystej Energii sp. z o.o.;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17) </w:t>
      </w:r>
      <w:r>
        <w:rPr>
          <w:rFonts w:ascii="Times New Roman" w:hAnsi="Times New Roman"/>
          <w:sz w:val="22"/>
          <w:lang w:val="pl-PL" w:bidi="pl-PL" w:eastAsia="pl-PL"/>
        </w:rPr>
        <w:t>T</w:t>
      </w:r>
      <w:r>
        <w:rPr>
          <w:rFonts w:ascii="Times New Roman" w:hAnsi="Times New Roman"/>
          <w:b w:val="0"/>
          <w:i w:val="0"/>
          <w:caps w:val="0"/>
          <w:strike w:val="0"/>
          <w:color w:val="000000"/>
          <w:sz w:val="22"/>
          <w:u w:val="none" w:color="000000"/>
          <w:vertAlign w:val="baseline"/>
        </w:rPr>
        <w:t>owarzystwo Budownictwa Społecznego „Motława” sp. z o. 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18) </w:t>
      </w:r>
      <w:r>
        <w:rPr>
          <w:rFonts w:ascii="Times New Roman" w:hAnsi="Times New Roman"/>
          <w:b w:val="0"/>
          <w:i w:val="0"/>
          <w:caps w:val="0"/>
          <w:strike w:val="0"/>
          <w:color w:val="000000"/>
          <w:sz w:val="22"/>
          <w:u w:val="none" w:color="000000"/>
          <w:vertAlign w:val="baseline"/>
        </w:rPr>
        <w:t>Zakład Utylizacyjny sp. z o. o.</w:t>
      </w:r>
    </w:p>
    <w:tbl>
      <w:tblPr>
        <w:tblStyle w:val="T1"/>
        <w:tblW w:w="5000" w:type="pct"/>
        <w:tblBorders>
          <w:top w:val="nil" w:sz="0" w:space="0" w:shadow="0" w:frame="0" w:color="000000"/>
          <w:left w:val="nil" w:sz="0" w:space="0" w:shadow="0" w:frame="0" w:color="000000"/>
          <w:bottom w:val="nil" w:sz="0" w:space="0" w:shadow="0" w:frame="0" w:color="000000"/>
          <w:right w:val="nil" w:sz="0" w:space="0" w:shadow="0" w:frame="0" w:color="000000"/>
          <w:insideH w:val="nil" w:sz="0" w:space="0" w:shadow="0" w:frame="0" w:color="000000"/>
          <w:insideV w:val="nil" w:sz="0" w:space="0" w:shadow="0" w:frame="0" w:color="000000"/>
        </w:tblBorders>
        <w:tblLook w:val="04A0"/>
      </w:tblPr>
      <w:tblGrid/>
      <w:tr>
        <w:tc>
          <w:tcPr>
            <w:tcW w:w="5000" w:type="pct"/>
            <w:tcBorders>
              <w:top w:val="nil" w:sz="0" w:space="0" w:shadow="0" w:frame="0" w:color="000000"/>
              <w:left w:val="nil" w:sz="0" w:space="0" w:shadow="0" w:frame="0" w:color="000000"/>
              <w:bottom w:val="nil" w:sz="0" w:space="0" w:shadow="0" w:frame="0" w:color="000000"/>
              <w:right w:val="nil" w:sz="0" w:space="0" w:shadow="0" w:frame="0" w:color="000000"/>
            </w:tcBorders>
          </w:tcPr>
          <w:p>
            <w:pPr>
              <w:keepNext w:val="0"/>
              <w:keepLines w:val="1"/>
              <w:spacing w:lineRule="auto" w:line="240" w:before="120" w:after="120" w:beforeAutospacing="0" w:afterAutospacing="0"/>
              <w:ind w:firstLine="0" w:left="0" w:right="0"/>
              <w:jc w:val="both"/>
              <w:rPr>
                <w:rFonts w:ascii="Times New Roman" w:hAnsi="Times New Roman"/>
                <w:b w:val="0"/>
                <w:i w:val="0"/>
                <w:caps w:val="0"/>
                <w:strike w:val="0"/>
                <w:color w:val="000000"/>
                <w:sz w:val="22"/>
                <w:u w:val="none" w:color="000000"/>
                <w:vertAlign w:val="baseline"/>
              </w:rPr>
            </w:pPr>
            <w:r>
              <w:rPr>
                <w:color w:val="000000"/>
                <w:u w:val="none" w:color="000000"/>
              </w:rPr>
              <w:t>do ewaluacji zapisów zarządzenia w terminie 24 miesięcy od dnia wejścia w życie.</w:t>
            </w:r>
          </w:p>
        </w:tc>
      </w:tr>
    </w:tbl>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3.</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Definicje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3. </w:t>
      </w:r>
      <w:r>
        <w:rPr>
          <w:rFonts w:ascii="Times New Roman" w:hAnsi="Times New Roman"/>
          <w:b w:val="0"/>
          <w:i w:val="0"/>
          <w:caps w:val="0"/>
          <w:strike w:val="0"/>
          <w:color w:val="000000"/>
          <w:sz w:val="22"/>
          <w:u w:val="none" w:color="000000"/>
          <w:vertAlign w:val="baseline"/>
        </w:rPr>
        <w:t>Użyte w zarządzeniu określenia oznaczają:</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proces inwestycyjny - przedsięwzięcie polegające na budowie nowych obiektów i działania wobec istniejących (tj. przebudowy, rozbudowy, remontu lub rozbiórki), realizowane w odniesieniu do obiektów budowlanych lub terenów zieleni;</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strefa ochrony drzewa (SOD) - obszar wokół drzewa, w obrębie którego ochronie podlega całe drzewo (system korzeniowy, pień i korona) oraz jego siedlisko, obejmujące strefę rzutu korony powiększoną o 1,5 m (w szczególnych przypadkach opisanych w Standardzie ochrony drzew i innych form zieleni w procesie inwestycyjnym strefa ta może być określana w inny sposób);</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 xml:space="preserve">drzewo sędziwe - drzewo, które osiągnęło wyjątkowy wiek jako reprezentant swojego gatunku, często charakteryzujące się wyjątkową grubością pnia; w przypadku gatunków długowiecznych  faza ta może być najdłuższą fazą życia drzewa. W tej fazie drzewo wykazuje szereg cech przystosowawczych, takich jak:</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a) </w:t>
      </w:r>
      <w:r>
        <w:rPr>
          <w:rFonts w:ascii="Times New Roman" w:hAnsi="Times New Roman"/>
          <w:b w:val="0"/>
          <w:i w:val="0"/>
          <w:caps w:val="0"/>
          <w:strike w:val="0"/>
          <w:color w:val="000000"/>
          <w:sz w:val="22"/>
          <w:u w:val="none" w:color="000000"/>
          <w:vertAlign w:val="baseline"/>
        </w:rPr>
        <w:t>w koronie możliwe obumieranie peryferyjnych części korony i powstawanie wtórnej korony poniżej (wycofywanie korony),</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b) </w:t>
      </w:r>
      <w:r>
        <w:rPr>
          <w:rFonts w:ascii="Times New Roman" w:hAnsi="Times New Roman"/>
          <w:b w:val="0"/>
          <w:i w:val="0"/>
          <w:caps w:val="0"/>
          <w:strike w:val="0"/>
          <w:color w:val="000000"/>
          <w:sz w:val="22"/>
          <w:u w:val="none" w:color="000000"/>
          <w:vertAlign w:val="baseline"/>
        </w:rPr>
        <w:t>rozległe ubytki pnia, które tworzą cenne siedliska dla licznej grupy zwierząt, roślin, grzybów i innych organizmów,</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c) </w:t>
      </w:r>
      <w:r>
        <w:rPr>
          <w:rFonts w:ascii="Times New Roman" w:hAnsi="Times New Roman"/>
          <w:b w:val="0"/>
          <w:i w:val="0"/>
          <w:caps w:val="0"/>
          <w:strike w:val="0"/>
          <w:color w:val="000000"/>
          <w:sz w:val="22"/>
          <w:u w:val="none" w:color="000000"/>
          <w:vertAlign w:val="baseline"/>
        </w:rPr>
        <w:t>wytwarzanie korzeni przybyszowych do wnętrza pnia, korzystających z rozkładanej przez grzyby materii organicznej,</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d) </w:t>
      </w:r>
      <w:r>
        <w:rPr>
          <w:rFonts w:ascii="Times New Roman" w:hAnsi="Times New Roman"/>
          <w:b w:val="0"/>
          <w:i w:val="0"/>
          <w:caps w:val="0"/>
          <w:strike w:val="0"/>
          <w:color w:val="000000"/>
          <w:sz w:val="22"/>
          <w:u w:val="none" w:color="000000"/>
          <w:vertAlign w:val="baseline"/>
        </w:rPr>
        <w:t>postępujące wyodrębnianie się z pnia kolumn funkcjonalnych poprzez lokalnie silniejszy przyrost</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rPr>
        <w:t>drzewo weterańskie, drzewo weteran - drzewo, które posiada cechy drzewa sędziwego, jednak wykształcone niezależnie od wieku chronologicznego;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rPr>
        <w:t>drzewa pochodzące z samosiewu - drzewa, które nie zostały nasadzone przez człowieka, a wyrosły w toku naturalnego procesu rozsiewania się nasion; mogą to być zarówno młode drzewka, jak i drzewa dojrzałe;</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b w:val="0"/>
          <w:i w:val="0"/>
          <w:caps w:val="0"/>
          <w:strike w:val="0"/>
          <w:color w:val="000000"/>
          <w:sz w:val="22"/>
          <w:u w:val="none" w:color="000000"/>
          <w:vertAlign w:val="baseline"/>
        </w:rPr>
        <w:t>rozbrukowanie - usunięcie nieprzepuszczalnej warstwy np. betonu, asfaltu, bruku kamiennego i zastąpienie jej roślinnością;</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7) </w:t>
      </w:r>
      <w:r>
        <w:rPr>
          <w:rFonts w:ascii="Times New Roman" w:hAnsi="Times New Roman"/>
          <w:b w:val="0"/>
          <w:i w:val="0"/>
          <w:caps w:val="0"/>
          <w:strike w:val="0"/>
          <w:color w:val="000000"/>
          <w:sz w:val="22"/>
          <w:u w:val="none" w:color="000000"/>
          <w:vertAlign w:val="baseline"/>
        </w:rPr>
        <w:t>Zielony Fundusz - baza propozycji działań inwestycyjnych i utrzymaniowych dotyczących zieleni, które będą mogły być sponsorowane przez podmioty zewnętrzne, np. w ramach społecznej odpowiedzialności biznesu (ang. Corporate Social Responsibility - CSR).</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4.</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Zastosowanie Standardów w procesie inwestycji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4. </w:t>
      </w:r>
      <w:r>
        <w:rPr>
          <w:rFonts w:ascii="Times New Roman" w:hAnsi="Times New Roman"/>
          <w:b w:val="0"/>
          <w:i w:val="0"/>
          <w:caps w:val="0"/>
          <w:strike w:val="0"/>
          <w:color w:val="000000"/>
          <w:sz w:val="22"/>
          <w:u w:val="none" w:color="000000"/>
          <w:vertAlign w:val="baseline"/>
        </w:rPr>
        <w:t>W procesie planowania inwestycji należy każdorazowo dążyć do maksymalnego zachowania istniejących zadrzewień, w tym drzew pochodzących z samosiewu.</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5. </w:t>
      </w:r>
      <w:r>
        <w:rPr>
          <w:rFonts w:ascii="Times New Roman" w:hAnsi="Times New Roman"/>
          <w:b w:val="0"/>
          <w:i w:val="0"/>
          <w:caps w:val="0"/>
          <w:strike w:val="0"/>
          <w:color w:val="000000"/>
          <w:sz w:val="22"/>
          <w:u w:val="none" w:color="000000"/>
          <w:vertAlign w:val="baseline"/>
        </w:rPr>
        <w:t>W procesie planowania inwestycji należy każdorazowo w specyfikacji warunków zamówienia zawrzeć postanowienia pozwalające wcielić w życie zasady i obowiązki wynikające z niniejszego zarządzenia.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6. </w:t>
      </w:r>
      <w:r>
        <w:rPr>
          <w:rFonts w:ascii="Times New Roman" w:hAnsi="Times New Roman"/>
          <w:b w:val="0"/>
          <w:i w:val="0"/>
          <w:caps w:val="0"/>
          <w:strike w:val="0"/>
          <w:color w:val="000000"/>
          <w:sz w:val="22"/>
          <w:u w:val="none" w:color="000000"/>
          <w:vertAlign w:val="baseline"/>
        </w:rPr>
        <w:t>W uzasadnionych przypadkach (np. cenne zadrzewienia, szpalery, aleje, drzewa o wymiarach pomnikowych, drzewa sędziwe i weterańskie) należy zapewnić nadzór inwestorski w zakresie ochrony zieleni nad zlecanymi pracami.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7. </w:t>
      </w:r>
      <w:r>
        <w:rPr>
          <w:rFonts w:ascii="Times New Roman" w:hAnsi="Times New Roman"/>
          <w:b w:val="0"/>
          <w:i w:val="0"/>
          <w:caps w:val="0"/>
          <w:strike w:val="0"/>
          <w:color w:val="000000"/>
          <w:sz w:val="22"/>
          <w:u w:val="none" w:color="000000"/>
          <w:vertAlign w:val="baseline"/>
        </w:rPr>
        <w:t>W przypadku inwestycji, dla których w dniu wejścia w życie zarządzenia nie wszczęto jeszcze postępowania o udzielenie zamówienia publicznego na wykonanie dokumentacji projektowej oraz w przypadkach, gdy od odbioru dokumentacji projektowej lub uzyskania prawomocnej decyzji o udzieleniu pozwolenia na budowę (w zależności od tego, który termin jest późniejszy) minęło więcej niż 3 lata, należy zapewnić wykonanie dokumentacji projektowej zgodnie z niniejszym zarządzeniem. Odstępstwo od tej reguły wymaga zgody Dyrektora Zarządzającego ds. Zielonego Gdańska.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8. </w:t>
      </w:r>
      <w:r>
        <w:rPr>
          <w:rFonts w:ascii="Times New Roman" w:hAnsi="Times New Roman"/>
          <w:b w:val="0"/>
          <w:i w:val="0"/>
          <w:caps w:val="0"/>
          <w:strike w:val="0"/>
          <w:color w:val="000000"/>
          <w:sz w:val="22"/>
          <w:u w:val="none" w:color="000000"/>
          <w:vertAlign w:val="baseline"/>
        </w:rPr>
        <w:t>W przypadku inwestycji, dla których w dniu wejścia w życie zarządzenia nie wszczęto jeszcze postępowania o udzielenie zamówienia publicznego na wykonanie robót budowlanych, należy zapewnić projekt ochrony zieleni oraz uwzględnić zapisy zarządzenia dotyczące organizacji budowy.</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9. </w:t>
      </w:r>
      <w:r>
        <w:rPr>
          <w:rFonts w:ascii="Times New Roman" w:hAnsi="Times New Roman"/>
          <w:b w:val="0"/>
          <w:i w:val="0"/>
          <w:caps w:val="0"/>
          <w:strike w:val="0"/>
          <w:color w:val="000000"/>
          <w:sz w:val="22"/>
          <w:u w:val="none" w:color="000000"/>
          <w:vertAlign w:val="baseline"/>
        </w:rPr>
        <w:t>W przypadku inwestycji prowadzonych w formule „zaprojektuj – wybuduj”, dla których w dniu wejścia w życie zarządzenia nie wszczęto jeszcze postępowania o udzielenie zamówienia publicznego na wykonanie dokumentacji projektowej i wykonanie robót budowlanych, należy zapewnić wykonanie dokumentacji i wykonanie robót zgodnie z niniejszym zarządzeniem.</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10. </w:t>
      </w:r>
      <w:r>
        <w:rPr>
          <w:rFonts w:ascii="Times New Roman" w:hAnsi="Times New Roman"/>
          <w:b w:val="1"/>
          <w:sz w:val="22"/>
          <w:lang w:val="pl-PL" w:bidi="pl-PL" w:eastAsia="pl-PL"/>
        </w:rPr>
        <w:t xml:space="preserve">1. </w:t>
      </w:r>
      <w:r>
        <w:rPr>
          <w:rFonts w:ascii="Times New Roman" w:hAnsi="Times New Roman"/>
          <w:b w:val="0"/>
          <w:i w:val="0"/>
          <w:caps w:val="0"/>
          <w:strike w:val="0"/>
          <w:color w:val="000000"/>
          <w:sz w:val="22"/>
          <w:u w:val="none" w:color="000000"/>
          <w:vertAlign w:val="baseline"/>
        </w:rPr>
        <w:t>W umowach, których przedmiotem jest realizacja robót budowlanych, należy ustalać kary umowne za pogorszenie siedliska drzew, uszkodzenie lub zniszczenie zieleni i gleby oraz naruszenie zakazów obowiązujących w strefach ochrony drzew i na terenach przeznaczonych do zagospodarowania w formie zieleni, określonych w Standardach</w:t>
      </w:r>
      <w:r>
        <w:rPr>
          <w:rFonts w:ascii="Times New Roman" w:hAnsi="Times New Roman"/>
          <w:b w:val="0"/>
          <w:i w:val="0"/>
          <w:caps w:val="0"/>
          <w:strike w:val="0"/>
          <w:color w:val="000000"/>
          <w:sz w:val="22"/>
          <w:u w:val="none" w:color="000000"/>
          <w:vertAlign w:val="baseline"/>
          <w:lang w:val="pl-PL" w:bidi="pl-PL" w:eastAsia="pl-PL"/>
        </w:rPr>
        <w:t>,</w:t>
      </w:r>
      <w:r>
        <w:rPr>
          <w:rFonts w:ascii="Times New Roman" w:hAnsi="Times New Roman"/>
          <w:b w:val="0"/>
          <w:i w:val="0"/>
          <w:caps w:val="0"/>
          <w:strike w:val="0"/>
          <w:color w:val="000000"/>
          <w:sz w:val="22"/>
          <w:u w:val="none" w:color="000000"/>
          <w:vertAlign w:val="baseline"/>
        </w:rPr>
        <w:t xml:space="preserve"> </w:t>
      </w:r>
      <w:r>
        <w:rPr>
          <w:rFonts w:ascii="Times New Roman" w:hAnsi="Times New Roman"/>
          <w:b w:val="0"/>
          <w:i w:val="0"/>
          <w:caps w:val="0"/>
          <w:strike w:val="0"/>
          <w:color w:val="000000"/>
          <w:sz w:val="22"/>
          <w:u w:val="none" w:color="000000"/>
          <w:vertAlign w:val="baseline"/>
          <w:lang w:val="pl-PL" w:bidi="pl-PL" w:eastAsia="pl-PL"/>
        </w:rPr>
        <w:t>w następujących przypadkach i wysokościach:</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lang w:val="pl-PL" w:bidi="pl-PL" w:eastAsia="pl-PL"/>
        </w:rPr>
        <w:t>z</w:t>
      </w:r>
      <w:r>
        <w:rPr>
          <w:rFonts w:ascii="Times New Roman" w:hAnsi="Times New Roman"/>
          <w:b w:val="0"/>
          <w:i w:val="0"/>
          <w:caps w:val="0"/>
          <w:strike w:val="0"/>
          <w:color w:val="000000"/>
          <w:sz w:val="22"/>
          <w:u w:val="none" w:color="000000"/>
          <w:vertAlign w:val="baseline"/>
        </w:rPr>
        <w:t>a ulokowanie obiektów tymczasowych (np. biura, toalety itp.) w strefie ochrony drzewa (SOD):</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 xml:space="preserve">a) </w:t>
      </w:r>
      <w:r>
        <w:rPr>
          <w:rFonts w:ascii="Times New Roman" w:hAnsi="Times New Roman"/>
          <w:b w:val="0"/>
          <w:i w:val="0"/>
          <w:caps w:val="0"/>
          <w:strike w:val="0"/>
          <w:color w:val="000000"/>
          <w:sz w:val="22"/>
          <w:u w:val="none" w:color="000000"/>
          <w:vertAlign w:val="baseline"/>
        </w:rPr>
        <w:t>2000 zł za każde stwierdzenie naruszenia w strefie SOD</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 xml:space="preserve">b) </w:t>
      </w:r>
      <w:r>
        <w:rPr>
          <w:rFonts w:ascii="Times New Roman" w:hAnsi="Times New Roman"/>
          <w:b w:val="0"/>
          <w:i w:val="0"/>
          <w:caps w:val="0"/>
          <w:strike w:val="0"/>
          <w:color w:val="000000"/>
          <w:sz w:val="22"/>
          <w:u w:val="none" w:color="000000"/>
          <w:vertAlign w:val="baseline"/>
        </w:rPr>
        <w:t>200 zł za każdy dzień zwłoki w usunięciu naruszenia,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lang w:val="pl-PL" w:bidi="pl-PL" w:eastAsia="pl-PL"/>
        </w:rPr>
        <w:t>z</w:t>
      </w:r>
      <w:r>
        <w:rPr>
          <w:rFonts w:ascii="Times New Roman" w:hAnsi="Times New Roman"/>
          <w:b w:val="0"/>
          <w:i w:val="0"/>
          <w:caps w:val="0"/>
          <w:strike w:val="0"/>
          <w:color w:val="000000"/>
          <w:sz w:val="22"/>
          <w:u w:val="none" w:color="000000"/>
          <w:vertAlign w:val="baseline"/>
        </w:rPr>
        <w:t>a ulokowanie placów postojowych i składowisk materiałów budowlanych, kruszyw, gruntów i środków chemicznych w SOD:</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 xml:space="preserve">a) </w:t>
      </w:r>
      <w:r>
        <w:rPr>
          <w:rFonts w:ascii="Times New Roman" w:hAnsi="Times New Roman"/>
          <w:b w:val="0"/>
          <w:i w:val="0"/>
          <w:caps w:val="0"/>
          <w:strike w:val="0"/>
          <w:color w:val="000000"/>
          <w:sz w:val="22"/>
          <w:u w:val="none" w:color="000000"/>
          <w:vertAlign w:val="baseline"/>
        </w:rPr>
        <w:t>2000 zł za każde stwierdzenie naruszenia w strefie SOD</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lang w:val="pl-PL" w:bidi="pl-PL" w:eastAsia="pl-PL"/>
        </w:rPr>
        <w:t xml:space="preserve">b) </w:t>
      </w:r>
      <w:r>
        <w:rPr>
          <w:rFonts w:ascii="Times New Roman" w:hAnsi="Times New Roman"/>
          <w:b w:val="0"/>
          <w:i w:val="0"/>
          <w:caps w:val="0"/>
          <w:strike w:val="0"/>
          <w:color w:val="000000"/>
          <w:sz w:val="22"/>
          <w:u w:val="none" w:color="000000"/>
          <w:vertAlign w:val="baseline"/>
        </w:rPr>
        <w:t>200 zł za każdy dzień zwłoki w usunięciu naruszenia,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lang w:val="pl-PL" w:bidi="pl-PL" w:eastAsia="pl-PL"/>
        </w:rPr>
        <w:t>z</w:t>
      </w:r>
      <w:r>
        <w:rPr>
          <w:rFonts w:ascii="Times New Roman" w:hAnsi="Times New Roman"/>
          <w:b w:val="0"/>
          <w:i w:val="0"/>
          <w:caps w:val="0"/>
          <w:strike w:val="0"/>
          <w:color w:val="000000"/>
          <w:sz w:val="22"/>
          <w:u w:val="none" w:color="000000"/>
          <w:vertAlign w:val="baseline"/>
        </w:rPr>
        <w:t>a poruszanie się sprzętu, maszyn i pojazdów w SOD, bez odpowiedniego zabezpieczanie podłoża przed zagęszczaniem i ingerencją w systemy korzeniowe drzew:</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 xml:space="preserve">a) </w:t>
      </w:r>
      <w:r>
        <w:rPr>
          <w:rFonts w:ascii="Times New Roman" w:hAnsi="Times New Roman"/>
          <w:b w:val="0"/>
          <w:i w:val="0"/>
          <w:caps w:val="0"/>
          <w:strike w:val="0"/>
          <w:color w:val="000000"/>
          <w:sz w:val="22"/>
          <w:u w:val="none" w:color="000000"/>
          <w:vertAlign w:val="baseline"/>
        </w:rPr>
        <w:t>1000 zł za każde stwierdzenie naruszenia w strefie SOD</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b)</w:t>
      </w:r>
      <w:r>
        <w:t> </w:t>
      </w:r>
      <w:r>
        <w:rPr>
          <w:rFonts w:ascii="Times New Roman" w:hAnsi="Times New Roman"/>
          <w:b w:val="0"/>
          <w:i w:val="0"/>
          <w:caps w:val="0"/>
          <w:strike w:val="0"/>
          <w:color w:val="000000"/>
          <w:sz w:val="22"/>
          <w:u w:val="none" w:color="000000"/>
          <w:vertAlign w:val="baseline"/>
        </w:rPr>
        <w:t>100 zł za każdy dzień zwłoki w usunięciu naruszenia (np. poprzez wykonanie tymczasowych dróg technologicznych),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4) </w:t>
      </w:r>
      <w:r>
        <w:rPr>
          <w:rFonts w:ascii="Times New Roman" w:hAnsi="Times New Roman"/>
          <w:b w:val="0"/>
          <w:i w:val="0"/>
          <w:caps w:val="0"/>
          <w:strike w:val="0"/>
          <w:color w:val="000000"/>
          <w:sz w:val="22"/>
          <w:u w:val="none" w:color="000000"/>
          <w:vertAlign w:val="baseline"/>
          <w:lang w:val="pl-PL" w:bidi="pl-PL" w:eastAsia="pl-PL"/>
        </w:rPr>
        <w:t>z</w:t>
      </w:r>
      <w:r>
        <w:rPr>
          <w:rFonts w:ascii="Times New Roman" w:hAnsi="Times New Roman"/>
          <w:b w:val="0"/>
          <w:i w:val="0"/>
          <w:caps w:val="0"/>
          <w:strike w:val="0"/>
          <w:color w:val="000000"/>
          <w:sz w:val="22"/>
          <w:u w:val="none" w:color="000000"/>
          <w:vertAlign w:val="baseline"/>
        </w:rPr>
        <w:t>a wysypywanie lub wylewanie odpadów powstających w procesie budowlanym, w tym płukanie i mycie maszyn i narzędzi w strefie SOD:</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a)</w:t>
      </w:r>
      <w:r>
        <w:t> </w:t>
      </w:r>
      <w:r>
        <w:rPr>
          <w:rFonts w:ascii="Times New Roman" w:hAnsi="Times New Roman"/>
          <w:b w:val="0"/>
          <w:i w:val="0"/>
          <w:caps w:val="0"/>
          <w:strike w:val="0"/>
          <w:color w:val="000000"/>
          <w:sz w:val="22"/>
          <w:u w:val="none" w:color="000000"/>
          <w:vertAlign w:val="baseline"/>
        </w:rPr>
        <w:t>2000 zł za każde stwierdzenie naruszenia w strefie SOD</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b)</w:t>
      </w:r>
      <w:r>
        <w:t> </w:t>
      </w:r>
      <w:r>
        <w:rPr>
          <w:rFonts w:ascii="Times New Roman" w:hAnsi="Times New Roman"/>
          <w:b w:val="0"/>
          <w:i w:val="0"/>
          <w:caps w:val="0"/>
          <w:strike w:val="0"/>
          <w:color w:val="000000"/>
          <w:sz w:val="22"/>
          <w:u w:val="none" w:color="000000"/>
          <w:vertAlign w:val="baseline"/>
        </w:rPr>
        <w:t>200 zł za każdy dzień zwłoki w usunięciu naruszenia,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5) </w:t>
      </w:r>
      <w:r>
        <w:rPr>
          <w:rFonts w:ascii="Times New Roman" w:hAnsi="Times New Roman"/>
          <w:b w:val="0"/>
          <w:i w:val="0"/>
          <w:caps w:val="0"/>
          <w:strike w:val="0"/>
          <w:color w:val="000000"/>
          <w:sz w:val="22"/>
          <w:u w:val="none" w:color="000000"/>
          <w:vertAlign w:val="baseline"/>
          <w:lang w:val="pl-PL" w:bidi="pl-PL" w:eastAsia="pl-PL"/>
        </w:rPr>
        <w:t>z</w:t>
      </w:r>
      <w:r>
        <w:rPr>
          <w:rFonts w:ascii="Times New Roman" w:hAnsi="Times New Roman"/>
          <w:b w:val="0"/>
          <w:i w:val="0"/>
          <w:caps w:val="0"/>
          <w:strike w:val="0"/>
          <w:color w:val="000000"/>
          <w:sz w:val="22"/>
          <w:u w:val="none" w:color="000000"/>
          <w:vertAlign w:val="baseline"/>
        </w:rPr>
        <w:t>a brak zabezpieczenia drzew zgodnego ze Standardem ochrony drzew i innych form zieleni w procesie inwestycyjnym na terenie placu budowy:</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a)</w:t>
      </w:r>
      <w:r>
        <w:t> </w:t>
      </w:r>
      <w:r>
        <w:rPr>
          <w:rFonts w:ascii="Times New Roman" w:hAnsi="Times New Roman"/>
          <w:b w:val="0"/>
          <w:i w:val="0"/>
          <w:caps w:val="0"/>
          <w:strike w:val="0"/>
          <w:color w:val="000000"/>
          <w:sz w:val="22"/>
          <w:u w:val="none" w:color="000000"/>
          <w:vertAlign w:val="baseline"/>
        </w:rPr>
        <w:t>500 zł za każde stwierdzone niezabezpieczone drzewo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b)</w:t>
      </w:r>
      <w:r>
        <w:t> </w:t>
      </w:r>
      <w:r>
        <w:rPr>
          <w:rFonts w:ascii="Times New Roman" w:hAnsi="Times New Roman"/>
          <w:b w:val="0"/>
          <w:i w:val="0"/>
          <w:caps w:val="0"/>
          <w:strike w:val="0"/>
          <w:color w:val="000000"/>
          <w:sz w:val="22"/>
          <w:u w:val="none" w:color="000000"/>
          <w:vertAlign w:val="baseline"/>
        </w:rPr>
        <w:t>100 zł za każdy dzień zwłoki w usunięciu naruszenia,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6) </w:t>
      </w:r>
      <w:r>
        <w:rPr>
          <w:rFonts w:ascii="Times New Roman" w:hAnsi="Times New Roman"/>
          <w:sz w:val="22"/>
          <w:lang w:val="pl-PL" w:bidi="pl-PL" w:eastAsia="pl-PL"/>
        </w:rPr>
        <w:t>z</w:t>
      </w:r>
      <w:r>
        <w:rPr>
          <w:rFonts w:ascii="Times New Roman" w:hAnsi="Times New Roman"/>
          <w:b w:val="0"/>
          <w:i w:val="0"/>
          <w:caps w:val="0"/>
          <w:strike w:val="0"/>
          <w:color w:val="000000"/>
          <w:sz w:val="22"/>
          <w:u w:val="none" w:color="000000"/>
          <w:vertAlign w:val="baseline"/>
        </w:rPr>
        <w:t>a niewłaściwe zabezpieczenie drzew na placu budowy niezgodne ze Standardem ochrony drzew i innych form zieleni w procesie inwestycyjnym:</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a)</w:t>
      </w:r>
      <w:r>
        <w:t> </w:t>
      </w:r>
      <w:r>
        <w:rPr>
          <w:rFonts w:ascii="Times New Roman" w:hAnsi="Times New Roman"/>
          <w:b w:val="0"/>
          <w:i w:val="0"/>
          <w:caps w:val="0"/>
          <w:strike w:val="0"/>
          <w:color w:val="000000"/>
          <w:sz w:val="22"/>
          <w:u w:val="none" w:color="000000"/>
          <w:vertAlign w:val="baseline"/>
        </w:rPr>
        <w:t>300 zł za każde stwierdzenie niewłaściwego zabezpieczenia drzewa</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lang w:val="pl-PL" w:bidi="pl-PL" w:eastAsia="pl-PL"/>
        </w:rPr>
      </w:pPr>
      <w:r>
        <w:rPr>
          <w:lang w:val="pl-PL" w:bidi="pl-PL" w:eastAsia="pl-PL"/>
        </w:rPr>
        <w:t>b)</w:t>
      </w:r>
      <w:r>
        <w:t> </w:t>
      </w:r>
      <w:r>
        <w:rPr>
          <w:rFonts w:ascii="Times New Roman" w:hAnsi="Times New Roman"/>
          <w:b w:val="0"/>
          <w:i w:val="0"/>
          <w:caps w:val="0"/>
          <w:strike w:val="0"/>
          <w:color w:val="000000"/>
          <w:sz w:val="22"/>
          <w:u w:val="none" w:color="000000"/>
          <w:vertAlign w:val="baseline"/>
        </w:rPr>
        <w:t>100 zł za każdy dzień zwłoki w usunięciu naruszenia, liczone dla każdego przypadku osobno</w:t>
      </w:r>
      <w:r>
        <w:rPr>
          <w:rFonts w:ascii="Times New Roman" w:hAnsi="Times New Roman"/>
          <w:b w:val="0"/>
          <w:i w:val="0"/>
          <w:caps w:val="0"/>
          <w:strike w:val="0"/>
          <w:color w:val="000000"/>
          <w:sz w:val="22"/>
          <w:u w:val="none" w:color="000000"/>
          <w:vertAlign w:val="baseline"/>
          <w:lang w:val="pl-PL" w:bidi="pl-PL" w:eastAsia="pl-PL"/>
        </w:rPr>
        <w:t>;</w:t>
      </w:r>
    </w:p>
    <w:p>
      <w:pPr>
        <w:keepLines w:val="1"/>
        <w:spacing w:before="120" w:after="120" w:beforeAutospacing="0" w:afterAutospacing="0"/>
        <w:ind w:hanging="227" w:left="340"/>
        <w:rPr>
          <w:color w:val="000000"/>
        </w:rPr>
      </w:pPr>
      <w:r>
        <w:rPr>
          <w:lang w:val="pl-PL" w:bidi="pl-PL" w:eastAsia="pl-PL"/>
        </w:rPr>
        <w:t>7</w:t>
      </w:r>
      <w:r>
        <w:t>) </w:t>
      </w:r>
      <w:r>
        <w:rPr>
          <w:color w:val="000000"/>
          <w:u w:val="none" w:color="000000"/>
          <w:lang w:val="pl-PL" w:bidi="pl-PL" w:eastAsia="pl-PL"/>
        </w:rPr>
        <w:t>w</w:t>
      </w:r>
      <w:r>
        <w:rPr>
          <w:color w:val="000000"/>
          <w:u w:val="none" w:color="000000"/>
        </w:rPr>
        <w:t xml:space="preserve"> przypadku uszkodzenia korzenia lub korzeni o średnicy powyżej 5 cm, Wykonawca ma obowiązek wykonania 2 badań specjalistycznych określających stabilność drzewa. Pierwsze badanie w terminie 7 dni od momentu stwierdzenia przypadku, drugie po upływie 2 lat. Za każdy dzień zwłoki w wykonaniu badań specjalistycznych określających stabilność drzewa - 200 zł</w:t>
      </w:r>
      <w:r>
        <w:rPr>
          <w:color w:val="000000"/>
          <w:u w:val="none" w:color="000000"/>
          <w:lang w:val="pl-PL" w:bidi="pl-PL" w:eastAsia="pl-PL"/>
        </w:rPr>
        <w:t>;</w:t>
      </w:r>
    </w:p>
    <w:p>
      <w:pPr>
        <w:keepLines w:val="1"/>
        <w:spacing w:before="120" w:after="120" w:beforeAutospacing="0" w:afterAutospacing="0"/>
        <w:ind w:hanging="227" w:left="340"/>
        <w:rPr>
          <w:color w:val="000000"/>
        </w:rPr>
      </w:pPr>
      <w:r>
        <w:rPr>
          <w:lang w:val="pl-PL" w:bidi="pl-PL" w:eastAsia="pl-PL"/>
        </w:rPr>
        <w:t>8</w:t>
      </w:r>
      <w:r>
        <w:t>) </w:t>
      </w:r>
      <w:r>
        <w:rPr>
          <w:color w:val="000000"/>
          <w:u w:val="none" w:color="000000"/>
          <w:lang w:val="pl-PL" w:bidi="pl-PL" w:eastAsia="pl-PL"/>
        </w:rPr>
        <w:t>w</w:t>
      </w:r>
      <w:r>
        <w:rPr>
          <w:color w:val="000000"/>
          <w:u w:val="none" w:color="000000"/>
        </w:rPr>
        <w:t>ykonawca ma obowiązek wykonania zaleceń wynikających z wyników ww. badań w terminie wskazanym przez Zamawiającego. Za każdy dzień zwłoki w wykonaniu zaleceń wynikających z wyników badan specjalistycznych określających stabilność drzewa - 200 zł</w:t>
      </w:r>
      <w:r>
        <w:rPr>
          <w:color w:val="000000"/>
          <w:u w:val="none" w:color="000000"/>
          <w:lang w:val="pl-PL" w:bidi="pl-PL" w:eastAsia="pl-PL"/>
        </w:rPr>
        <w:t>;</w:t>
      </w:r>
    </w:p>
    <w:p>
      <w:pPr>
        <w:keepLines w:val="1"/>
        <w:spacing w:before="120" w:after="120" w:beforeAutospacing="0" w:afterAutospacing="0"/>
        <w:ind w:hanging="227" w:left="340"/>
        <w:rPr>
          <w:color w:val="000000"/>
        </w:rPr>
      </w:pPr>
      <w:r>
        <w:rPr>
          <w:lang w:val="pl-PL" w:bidi="pl-PL" w:eastAsia="pl-PL"/>
        </w:rPr>
        <w:t>9</w:t>
      </w:r>
      <w:r>
        <w:t>) </w:t>
      </w:r>
      <w:r>
        <w:rPr>
          <w:color w:val="000000"/>
          <w:u w:val="none" w:color="000000"/>
          <w:lang w:val="pl-PL" w:bidi="pl-PL" w:eastAsia="pl-PL"/>
        </w:rPr>
        <w:t>z</w:t>
      </w:r>
      <w:r>
        <w:rPr>
          <w:color w:val="000000"/>
          <w:u w:val="none" w:color="000000"/>
        </w:rPr>
        <w:t>a każde uszkodzenie pnia lub gałęzi o średnicy powyżej 10 cm w miejscu uszkodzenia – 2000 zł</w:t>
      </w:r>
      <w:r>
        <w:rPr>
          <w:color w:val="000000"/>
          <w:u w:val="none" w:color="000000"/>
          <w:lang w:val="pl-PL" w:bidi="pl-PL" w:eastAsia="pl-PL"/>
        </w:rPr>
        <w:t>;</w:t>
      </w:r>
    </w:p>
    <w:p>
      <w:pPr>
        <w:keepLines w:val="1"/>
        <w:spacing w:before="120" w:after="120" w:beforeAutospacing="0" w:afterAutospacing="0"/>
        <w:ind w:hanging="227" w:left="340"/>
        <w:rPr>
          <w:color w:val="000000"/>
        </w:rPr>
      </w:pPr>
      <w:r>
        <w:t>1</w:t>
      </w:r>
      <w:r>
        <w:rPr>
          <w:lang w:val="pl-PL" w:bidi="pl-PL" w:eastAsia="pl-PL"/>
        </w:rPr>
        <w:t>0</w:t>
      </w:r>
      <w:r>
        <w:t>) </w:t>
      </w:r>
      <w:r>
        <w:rPr>
          <w:lang w:val="pl-PL" w:bidi="pl-PL" w:eastAsia="pl-PL"/>
        </w:rPr>
        <w:t>z</w:t>
      </w:r>
      <w:r>
        <w:rPr>
          <w:color w:val="000000"/>
          <w:u w:val="none" w:color="000000"/>
        </w:rPr>
        <w:t>a zmianę poziomu gruntu w SOD:</w:t>
      </w:r>
    </w:p>
    <w:p>
      <w:pPr>
        <w:keepLines w:val="1"/>
        <w:spacing w:before="120" w:after="120" w:beforeAutospacing="0" w:afterAutospacing="0"/>
        <w:ind w:hanging="113" w:left="567"/>
        <w:rPr>
          <w:color w:val="000000"/>
        </w:rPr>
      </w:pPr>
      <w:r>
        <w:rPr>
          <w:lang w:val="pl-PL" w:bidi="pl-PL" w:eastAsia="pl-PL"/>
        </w:rPr>
        <w:t>a)</w:t>
      </w:r>
      <w:r>
        <w:t> </w:t>
      </w:r>
      <w:r>
        <w:rPr>
          <w:color w:val="000000"/>
          <w:u w:val="none" w:color="000000"/>
        </w:rPr>
        <w:t>1000 zł za każde stwierdzenie naruszenia w strefie SOD</w:t>
      </w:r>
      <w:r>
        <w:rPr>
          <w:color w:val="000000"/>
          <w:u w:val="none" w:color="000000"/>
          <w:lang w:val="pl-PL" w:bidi="pl-PL" w:eastAsia="pl-PL"/>
        </w:rPr>
        <w:t>,</w:t>
      </w:r>
    </w:p>
    <w:p>
      <w:pPr>
        <w:keepLines w:val="1"/>
        <w:spacing w:before="120" w:after="120" w:beforeAutospacing="0" w:afterAutospacing="0"/>
        <w:ind w:hanging="113" w:left="567"/>
        <w:rPr>
          <w:color w:val="000000"/>
        </w:rPr>
      </w:pPr>
      <w:r>
        <w:rPr>
          <w:lang w:val="pl-PL" w:bidi="pl-PL" w:eastAsia="pl-PL"/>
        </w:rPr>
        <w:t>b)</w:t>
      </w:r>
      <w:r>
        <w:t> </w:t>
      </w:r>
      <w:r>
        <w:rPr>
          <w:color w:val="000000"/>
          <w:u w:val="none" w:color="000000"/>
        </w:rPr>
        <w:t>100 zł za każdy dzień zwłoki w usunięciu naruszenia, liczone dla każdego przypadku osobno</w:t>
      </w:r>
      <w:r>
        <w:rPr>
          <w:color w:val="000000"/>
          <w:u w:val="none" w:color="000000"/>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lang w:val="pl-PL" w:bidi="pl-PL" w:eastAsia="pl-PL"/>
        </w:rPr>
        <w:t>11</w:t>
      </w:r>
      <w:r>
        <w:rPr>
          <w:rFonts w:ascii="Times New Roman" w:hAnsi="Times New Roman"/>
          <w:sz w:val="22"/>
        </w:rPr>
        <w:t>) </w:t>
      </w:r>
      <w:r>
        <w:rPr>
          <w:rFonts w:ascii="Times New Roman" w:hAnsi="Times New Roman"/>
          <w:sz w:val="22"/>
          <w:lang w:val="pl-PL" w:bidi="pl-PL" w:eastAsia="pl-PL"/>
        </w:rPr>
        <w:t>z</w:t>
      </w:r>
      <w:r>
        <w:rPr>
          <w:rFonts w:ascii="Times New Roman" w:hAnsi="Times New Roman"/>
          <w:b w:val="0"/>
          <w:i w:val="0"/>
          <w:caps w:val="0"/>
          <w:strike w:val="0"/>
          <w:color w:val="000000"/>
          <w:sz w:val="22"/>
          <w:u w:val="none" w:color="000000"/>
          <w:vertAlign w:val="baseline"/>
        </w:rPr>
        <w:t>a uszkodzenie korzeni w SOD:</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rPr>
      </w:pPr>
      <w:r>
        <w:rPr>
          <w:lang w:val="pl-PL" w:bidi="pl-PL" w:eastAsia="pl-PL"/>
        </w:rPr>
        <w:t>a)</w:t>
      </w:r>
      <w:r>
        <w:t> </w:t>
      </w:r>
      <w:r>
        <w:rPr>
          <w:rFonts w:ascii="Times New Roman" w:hAnsi="Times New Roman"/>
          <w:b w:val="0"/>
          <w:i w:val="0"/>
          <w:caps w:val="0"/>
          <w:strike w:val="0"/>
          <w:color w:val="000000"/>
          <w:sz w:val="22"/>
          <w:u w:val="none" w:color="000000"/>
          <w:vertAlign w:val="baseline"/>
        </w:rPr>
        <w:t>500 zł za każde uszkodzenie korzenia o średnicy w miejscu uszkodzenia od 2 do 5 cm</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113" w:left="567" w:right="0"/>
        <w:jc w:val="both"/>
        <w:rPr>
          <w:rFonts w:ascii="Times New Roman" w:hAnsi="Times New Roman"/>
          <w:b w:val="0"/>
          <w:i w:val="0"/>
          <w:caps w:val="0"/>
          <w:strike w:val="0"/>
          <w:color w:val="000000"/>
          <w:sz w:val="22"/>
          <w:u w:val="none" w:color="000000"/>
          <w:vertAlign w:val="baseline"/>
          <w:lang w:val="pl-PL" w:bidi="pl-PL" w:eastAsia="pl-PL"/>
        </w:rPr>
      </w:pPr>
      <w:r>
        <w:rPr>
          <w:lang w:val="pl-PL" w:bidi="pl-PL" w:eastAsia="pl-PL"/>
        </w:rPr>
        <w:t>b)</w:t>
      </w:r>
      <w:r>
        <w:t> </w:t>
      </w:r>
      <w:r>
        <w:rPr>
          <w:rFonts w:ascii="Times New Roman" w:hAnsi="Times New Roman"/>
          <w:b w:val="0"/>
          <w:i w:val="0"/>
          <w:caps w:val="0"/>
          <w:strike w:val="0"/>
          <w:color w:val="000000"/>
          <w:sz w:val="22"/>
          <w:u w:val="none" w:color="000000"/>
          <w:vertAlign w:val="baseline"/>
        </w:rPr>
        <w:t>1000 zł za każde uszkodzenie korzenia o średnicy w miejscu uszkodzenia powyżej 5 cm</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lang w:val="pl-PL" w:bidi="pl-PL" w:eastAsia="pl-PL"/>
        </w:rPr>
        <w:t xml:space="preserve">2. Dopuszcza się odstępstwo od stosowania ust. 1 pkt. 11 </w:t>
      </w:r>
      <w:r>
        <w:t>w przypadku braku możliwości zastosowania rozwiązań alternatywnych oraz przy zachowaniu następującej procedury:</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lang w:val="pl-PL" w:bidi="pl-PL" w:eastAsia="pl-PL"/>
        </w:rPr>
        <w:t>1</w:t>
      </w:r>
      <w:r>
        <w:rPr>
          <w:rFonts w:ascii="Times New Roman" w:hAnsi="Times New Roman"/>
          <w:sz w:val="22"/>
        </w:rPr>
        <w:t>)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ykonawca/Inspektor nadzoru w zakresie ochrony zieleni ze strony wykonawcy musi zwrócić się z pisemnym wnioskiem do inwestora/zamawiającego, uzasadniając brak możliwości zastosowania rozwiązań alternatywnych;</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lang w:val="pl-PL" w:bidi="pl-PL" w:eastAsia="pl-PL"/>
        </w:rPr>
        <w:t>2</w:t>
      </w:r>
      <w:r>
        <w:rPr>
          <w:rFonts w:ascii="Times New Roman" w:hAnsi="Times New Roman"/>
          <w:sz w:val="22"/>
        </w:rPr>
        <w:t>)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e wniosku musi być zawarty program naprawczy, który zostanie wdrożony natychmiast po uszkodzeniu korzeni;</w:t>
      </w:r>
    </w:p>
    <w:p>
      <w:pPr>
        <w:keepNext w:val="0"/>
        <w:keepLines w:val="1"/>
        <w:spacing w:lineRule="auto" w:line="240" w:before="120" w:after="120" w:beforeAutospacing="0" w:afterAutospacing="0"/>
        <w:ind w:hanging="227" w:left="567"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lang w:val="pl-PL" w:bidi="pl-PL" w:eastAsia="pl-PL"/>
        </w:rPr>
        <w:t>3</w:t>
      </w:r>
      <w:r>
        <w:rPr>
          <w:rFonts w:ascii="Times New Roman" w:hAnsi="Times New Roman"/>
          <w:sz w:val="22"/>
        </w:rPr>
        <w:t>) </w:t>
      </w:r>
      <w:r>
        <w:rPr>
          <w:rFonts w:ascii="Times New Roman" w:hAnsi="Times New Roman"/>
          <w:b w:val="0"/>
          <w:i w:val="0"/>
          <w:caps w:val="0"/>
          <w:strike w:val="0"/>
          <w:color w:val="000000"/>
          <w:sz w:val="22"/>
          <w:u w:val="none" w:color="000000"/>
          <w:vertAlign w:val="baseline"/>
          <w:lang w:val="pl-PL" w:bidi="pl-PL" w:eastAsia="pl-PL"/>
        </w:rPr>
        <w:t>w</w:t>
      </w:r>
      <w:r>
        <w:rPr>
          <w:rFonts w:ascii="Times New Roman" w:hAnsi="Times New Roman"/>
          <w:b w:val="0"/>
          <w:i w:val="0"/>
          <w:caps w:val="0"/>
          <w:strike w:val="0"/>
          <w:color w:val="000000"/>
          <w:sz w:val="22"/>
          <w:u w:val="none" w:color="000000"/>
          <w:vertAlign w:val="baseline"/>
        </w:rPr>
        <w:t>niosek wraz z programem naprawczym musi zostać zaakceptowany przez zamawiającego/inspektora nadzoru w zakresie ochrony zieleni zamawiającego/inwestora.</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5.</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Inwentaryzacja drzew i innych form zieleni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1</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Gdańskiego Zarządu Dróg i Zieleni w uzgodnieniu z Wydziałem Geodezji Urzędu Miejskiego w Gdańsku do pozyskania cyfrowej mapy drzew dla terenu Gdańska oraz cyfrowej mapy zasobów krzewów i zieleni niskiej dla gruntów Gminy Miasta Gdańska.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2</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Dyrektorów jednostek wymienionych w § 2, którzy zarządzają terenami zielonymi, w szczególności Dyrektorów Gdańskiego Zarządu Dróg i Zieleni, Gdańskich Nieruchomości, Gdańskiego Ośrodka Sportu oraz Hevelianum, w oparciu o materiały określone w § 1</w:t>
      </w:r>
      <w:r>
        <w:rPr>
          <w:rFonts w:ascii="Times New Roman" w:hAnsi="Times New Roman"/>
          <w:b w:val="0"/>
          <w:i w:val="0"/>
          <w:caps w:val="0"/>
          <w:strike w:val="0"/>
          <w:color w:val="000000"/>
          <w:sz w:val="22"/>
          <w:u w:val="none" w:color="000000"/>
          <w:vertAlign w:val="baseline"/>
          <w:lang w:val="pl-PL" w:bidi="pl-PL" w:eastAsia="pl-PL"/>
        </w:rPr>
        <w:t>1</w:t>
      </w:r>
      <w:r>
        <w:rPr>
          <w:rFonts w:ascii="Times New Roman" w:hAnsi="Times New Roman"/>
          <w:b w:val="0"/>
          <w:i w:val="0"/>
          <w:caps w:val="0"/>
          <w:strike w:val="0"/>
          <w:color w:val="000000"/>
          <w:sz w:val="22"/>
          <w:u w:val="none" w:color="000000"/>
          <w:vertAlign w:val="baseline"/>
        </w:rPr>
        <w:t xml:space="preserve">, </w:t>
      </w:r>
      <w:r>
        <w:rPr>
          <w:rFonts w:ascii="Times New Roman" w:hAnsi="Times New Roman"/>
          <w:b w:val="0"/>
          <w:i w:val="0"/>
          <w:caps w:val="0"/>
          <w:strike w:val="0"/>
          <w:color w:val="000000"/>
          <w:sz w:val="22"/>
          <w:u w:val="none" w:color="000000"/>
          <w:vertAlign w:val="baseline"/>
          <w:lang w:val="pl-PL" w:bidi="pl-PL" w:eastAsia="pl-PL"/>
        </w:rPr>
        <w:t xml:space="preserve">do </w:t>
      </w:r>
      <w:r>
        <w:rPr>
          <w:rFonts w:ascii="Times New Roman" w:hAnsi="Times New Roman"/>
          <w:b w:val="0"/>
          <w:i w:val="0"/>
          <w:caps w:val="0"/>
          <w:strike w:val="0"/>
          <w:color w:val="000000"/>
          <w:sz w:val="22"/>
          <w:u w:val="none" w:color="000000"/>
          <w:vertAlign w:val="baseline"/>
        </w:rPr>
        <w:t>przeprowadz</w:t>
      </w:r>
      <w:r>
        <w:rPr>
          <w:rFonts w:ascii="Times New Roman" w:hAnsi="Times New Roman"/>
          <w:b w:val="0"/>
          <w:i w:val="0"/>
          <w:caps w:val="0"/>
          <w:strike w:val="0"/>
          <w:color w:val="000000"/>
          <w:sz w:val="22"/>
          <w:u w:val="none" w:color="000000"/>
          <w:vertAlign w:val="baseline"/>
          <w:lang w:val="pl-PL" w:bidi="pl-PL" w:eastAsia="pl-PL"/>
        </w:rPr>
        <w:t>enia</w:t>
      </w:r>
      <w:r>
        <w:rPr>
          <w:rFonts w:ascii="Times New Roman" w:hAnsi="Times New Roman"/>
          <w:b w:val="0"/>
          <w:i w:val="0"/>
          <w:caps w:val="0"/>
          <w:strike w:val="0"/>
          <w:color w:val="000000"/>
          <w:sz w:val="22"/>
          <w:u w:val="none" w:color="000000"/>
          <w:vertAlign w:val="baseline"/>
        </w:rPr>
        <w:t xml:space="preserve"> inwentaryzacj</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 xml:space="preserve"> administrowanych lub zarządzanych terenów zadrzewionych i z zielenią urządzoną, pod kątem jednostek odpowiedzialnych za administrowanie lub zarządzanie nimi oraz wprowadz</w:t>
      </w:r>
      <w:r>
        <w:rPr>
          <w:rFonts w:ascii="Times New Roman" w:hAnsi="Times New Roman"/>
          <w:b w:val="0"/>
          <w:i w:val="0"/>
          <w:caps w:val="0"/>
          <w:strike w:val="0"/>
          <w:color w:val="000000"/>
          <w:sz w:val="22"/>
          <w:u w:val="none" w:color="000000"/>
          <w:vertAlign w:val="baseline"/>
          <w:lang w:val="pl-PL" w:bidi="pl-PL" w:eastAsia="pl-PL"/>
        </w:rPr>
        <w:t>enia</w:t>
      </w:r>
      <w:r>
        <w:rPr>
          <w:rFonts w:ascii="Times New Roman" w:hAnsi="Times New Roman"/>
          <w:b w:val="0"/>
          <w:i w:val="0"/>
          <w:caps w:val="0"/>
          <w:strike w:val="0"/>
          <w:color w:val="000000"/>
          <w:sz w:val="22"/>
          <w:u w:val="none" w:color="000000"/>
          <w:vertAlign w:val="baseline"/>
        </w:rPr>
        <w:t xml:space="preserve"> uzyskan</w:t>
      </w:r>
      <w:r>
        <w:rPr>
          <w:rFonts w:ascii="Times New Roman" w:hAnsi="Times New Roman"/>
          <w:b w:val="0"/>
          <w:i w:val="0"/>
          <w:caps w:val="0"/>
          <w:strike w:val="0"/>
          <w:color w:val="000000"/>
          <w:sz w:val="22"/>
          <w:u w:val="none" w:color="000000"/>
          <w:vertAlign w:val="baseline"/>
          <w:lang w:val="pl-PL" w:bidi="pl-PL" w:eastAsia="pl-PL"/>
        </w:rPr>
        <w:t>ych</w:t>
      </w:r>
      <w:r>
        <w:rPr>
          <w:rFonts w:ascii="Times New Roman" w:hAnsi="Times New Roman"/>
          <w:b w:val="0"/>
          <w:i w:val="0"/>
          <w:caps w:val="0"/>
          <w:strike w:val="0"/>
          <w:color w:val="000000"/>
          <w:sz w:val="22"/>
          <w:u w:val="none" w:color="000000"/>
          <w:vertAlign w:val="baseline"/>
        </w:rPr>
        <w:t xml:space="preserve"> informacj</w:t>
      </w:r>
      <w:r>
        <w:rPr>
          <w:rFonts w:ascii="Times New Roman" w:hAnsi="Times New Roman"/>
          <w:b w:val="0"/>
          <w:i w:val="0"/>
          <w:caps w:val="0"/>
          <w:strike w:val="0"/>
          <w:color w:val="000000"/>
          <w:sz w:val="22"/>
          <w:u w:val="none" w:color="000000"/>
          <w:vertAlign w:val="baseline"/>
          <w:lang w:val="pl-PL" w:bidi="pl-PL" w:eastAsia="pl-PL"/>
        </w:rPr>
        <w:t>i</w:t>
      </w:r>
      <w:r>
        <w:rPr>
          <w:rFonts w:ascii="Times New Roman" w:hAnsi="Times New Roman"/>
          <w:b w:val="0"/>
          <w:i w:val="0"/>
          <w:caps w:val="0"/>
          <w:strike w:val="0"/>
          <w:color w:val="000000"/>
          <w:sz w:val="22"/>
          <w:u w:val="none" w:color="000000"/>
          <w:vertAlign w:val="baseline"/>
        </w:rPr>
        <w:t xml:space="preserve"> w formie mapowej do systemu GeoGdańsk.</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3</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Gdańskiego Zarządu Dróg i Zieleni do nabicia tabliczek identyfikacyjnych (tzw. arbotagów) dla minimum 5 tysięcy drzew rocznie, przy czym dla pierwszych 5 tysięcy drzew - w okresie 18 miesięcy od dnia wejścia w życie zarządzenia. W przypadku oznaczania drzew arbotagami przez inne jednostki organizacyjne Gminy Miasta Gdańska, wymienione w § 2, konieczne jest uzgodnienie przez nie z Gdańskim Zarządem Dróg i Zieleni wzoru tabliczki, jej numeracji i oznaczenia.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4</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wszystkie jednostki organizacyjne Gminy Miasta Gdańska, wymienione w § 2, realizujące inwestycje do sporządzania inwentaryzacji drzew tworzonych na potrzeby działań statutowych jednostek zgodnie ze Standardami i przekazywania sporządzanych inwentaryzacji w wersji cyfrowej do zasilenia bazy danych zieleni miejskiej, na którą składać się będą cyfrowe mapy drzew dla terenu Gdańska oraz cyfrowe mapy zasobów zieleni niskiej dla gruntów Gminy Miasta Gdańska.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lang w:val="pl-PL" w:bidi="pl-PL" w:eastAsia="pl-PL"/>
        </w:rPr>
      </w:pPr>
      <w:r>
        <w:rPr>
          <w:rFonts w:ascii="Times New Roman" w:hAnsi="Times New Roman"/>
          <w:b w:val="1"/>
          <w:sz w:val="22"/>
        </w:rPr>
        <w:t>§ 1</w:t>
      </w:r>
      <w:r>
        <w:rPr>
          <w:rFonts w:ascii="Times New Roman" w:hAnsi="Times New Roman"/>
          <w:b w:val="1"/>
          <w:sz w:val="22"/>
          <w:lang w:val="pl-PL" w:bidi="pl-PL" w:eastAsia="pl-PL"/>
        </w:rPr>
        <w:t>5</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Zarządzanie bazą danych zieleni miejskiej powierza się</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firstLine="0" w:left="0" w:right="0"/>
        <w:jc w:val="both"/>
        <w:rPr>
          <w:rFonts w:ascii="Times New Roman" w:hAnsi="Times New Roman"/>
          <w:b w:val="0"/>
          <w:i w:val="0"/>
          <w:caps w:val="0"/>
          <w:strike w:val="0"/>
          <w:color w:val="000000"/>
          <w:sz w:val="22"/>
          <w:u w:val="none" w:color="000000"/>
          <w:vertAlign w:val="baseline"/>
          <w:lang w:val="pl-PL" w:bidi="pl-PL" w:eastAsia="pl-PL"/>
        </w:rPr>
      </w:pPr>
      <w:r>
        <w:rPr>
          <w:rFonts w:ascii="Times New Roman" w:hAnsi="Times New Roman"/>
          <w:b w:val="0"/>
          <w:i w:val="0"/>
          <w:caps w:val="0"/>
          <w:strike w:val="0"/>
          <w:color w:val="000000"/>
          <w:sz w:val="22"/>
          <w:u w:val="none" w:color="000000"/>
          <w:vertAlign w:val="baseline"/>
          <w:lang w:val="pl-PL" w:bidi="pl-PL" w:eastAsia="pl-PL"/>
        </w:rPr>
        <w:t>1)</w:t>
      </w:r>
      <w:r>
        <w:rPr>
          <w:rFonts w:ascii="Times New Roman" w:hAnsi="Times New Roman"/>
          <w:b w:val="0"/>
          <w:i w:val="0"/>
          <w:caps w:val="0"/>
          <w:strike w:val="0"/>
          <w:color w:val="000000"/>
          <w:sz w:val="22"/>
          <w:u w:val="none" w:color="000000"/>
          <w:vertAlign w:val="baseline"/>
        </w:rPr>
        <w:t xml:space="preserve"> Dyrektorowi Gdańskiego Zarządu Dróg i Zieleni - w zakresie merytorycznym</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firstLine="0" w:left="0" w:right="0"/>
        <w:jc w:val="both"/>
        <w:rPr>
          <w:rFonts w:ascii="Times New Roman" w:hAnsi="Times New Roman"/>
          <w:b w:val="0"/>
          <w:i w:val="0"/>
          <w:caps w:val="0"/>
          <w:strike w:val="0"/>
          <w:color w:val="000000"/>
          <w:sz w:val="22"/>
          <w:u w:val="none" w:color="000000"/>
          <w:vertAlign w:val="baseline"/>
          <w:lang w:val="pl-PL" w:bidi="pl-PL" w:eastAsia="pl-PL"/>
        </w:rPr>
      </w:pPr>
      <w:r>
        <w:rPr>
          <w:rFonts w:ascii="Times New Roman" w:hAnsi="Times New Roman"/>
          <w:b w:val="0"/>
          <w:i w:val="0"/>
          <w:caps w:val="0"/>
          <w:strike w:val="0"/>
          <w:color w:val="000000"/>
          <w:sz w:val="22"/>
          <w:u w:val="none" w:color="000000"/>
          <w:vertAlign w:val="baseline"/>
          <w:lang w:val="pl-PL" w:bidi="pl-PL" w:eastAsia="pl-PL"/>
        </w:rPr>
        <w:t>2) Dyrektorowi</w:t>
      </w:r>
      <w:r>
        <w:rPr>
          <w:rFonts w:ascii="Times New Roman" w:hAnsi="Times New Roman"/>
          <w:b w:val="0"/>
          <w:i w:val="0"/>
          <w:caps w:val="0"/>
          <w:strike w:val="0"/>
          <w:color w:val="000000"/>
          <w:sz w:val="22"/>
          <w:u w:val="none" w:color="000000"/>
          <w:vertAlign w:val="baseline"/>
        </w:rPr>
        <w:t xml:space="preserve"> Wydział</w:t>
      </w:r>
      <w:r>
        <w:rPr>
          <w:rFonts w:ascii="Times New Roman" w:hAnsi="Times New Roman"/>
          <w:b w:val="0"/>
          <w:i w:val="0"/>
          <w:caps w:val="0"/>
          <w:strike w:val="0"/>
          <w:color w:val="000000"/>
          <w:sz w:val="22"/>
          <w:u w:val="none" w:color="000000"/>
          <w:vertAlign w:val="baseline"/>
          <w:lang w:val="pl-PL" w:bidi="pl-PL" w:eastAsia="pl-PL"/>
        </w:rPr>
        <w:t xml:space="preserve">u </w:t>
      </w:r>
      <w:r>
        <w:rPr>
          <w:rFonts w:ascii="Times New Roman" w:hAnsi="Times New Roman"/>
          <w:b w:val="0"/>
          <w:i w:val="0"/>
          <w:caps w:val="0"/>
          <w:strike w:val="0"/>
          <w:color w:val="000000"/>
          <w:sz w:val="22"/>
          <w:u w:val="none" w:color="000000"/>
          <w:vertAlign w:val="baseline"/>
        </w:rPr>
        <w:t>Geodezji Urzędu Miejskiego w Gdańsku - w zakresie standardu danych GIS</w:t>
      </w:r>
      <w:r>
        <w:rPr>
          <w:rFonts w:ascii="Times New Roman" w:hAnsi="Times New Roman"/>
          <w:b w:val="0"/>
          <w:i w:val="0"/>
          <w:caps w:val="0"/>
          <w:strike w:val="0"/>
          <w:color w:val="000000"/>
          <w:sz w:val="22"/>
          <w:u w:val="none" w:color="000000"/>
          <w:vertAlign w:val="baseline"/>
          <w:lang w:val="pl-PL" w:bidi="pl-PL" w:eastAsia="pl-PL"/>
        </w:rPr>
        <w:t>;</w:t>
      </w:r>
    </w:p>
    <w:p>
      <w:pPr>
        <w:keepNext w:val="0"/>
        <w:keepLines w:val="1"/>
        <w:spacing w:lineRule="auto" w:line="240" w:before="120" w:after="120" w:beforeAutospacing="0" w:afterAutospacing="0"/>
        <w:ind w:firstLine="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lang w:val="pl-PL" w:bidi="pl-PL" w:eastAsia="pl-PL"/>
        </w:rPr>
        <w:t>3) Dyrektorowi</w:t>
      </w:r>
      <w:r>
        <w:rPr>
          <w:rFonts w:ascii="Times New Roman" w:hAnsi="Times New Roman"/>
          <w:b w:val="0"/>
          <w:i w:val="0"/>
          <w:caps w:val="0"/>
          <w:strike w:val="0"/>
          <w:color w:val="000000"/>
          <w:sz w:val="22"/>
          <w:u w:val="none" w:color="000000"/>
          <w:vertAlign w:val="baseline"/>
        </w:rPr>
        <w:t xml:space="preserve"> Gdańskie</w:t>
      </w:r>
      <w:r>
        <w:rPr>
          <w:rFonts w:ascii="Times New Roman" w:hAnsi="Times New Roman"/>
          <w:b w:val="0"/>
          <w:i w:val="0"/>
          <w:caps w:val="0"/>
          <w:strike w:val="0"/>
          <w:color w:val="000000"/>
          <w:sz w:val="22"/>
          <w:u w:val="none" w:color="000000"/>
          <w:vertAlign w:val="baseline"/>
          <w:lang w:val="pl-PL" w:bidi="pl-PL" w:eastAsia="pl-PL"/>
        </w:rPr>
        <w:t>go</w:t>
      </w:r>
      <w:r>
        <w:rPr>
          <w:rFonts w:ascii="Times New Roman" w:hAnsi="Times New Roman"/>
          <w:b w:val="0"/>
          <w:i w:val="0"/>
          <w:caps w:val="0"/>
          <w:strike w:val="0"/>
          <w:color w:val="000000"/>
          <w:sz w:val="22"/>
          <w:u w:val="none" w:color="000000"/>
          <w:vertAlign w:val="baseline"/>
        </w:rPr>
        <w:t xml:space="preserve"> Centrum Informatyczne</w:t>
      </w:r>
      <w:r>
        <w:rPr>
          <w:rFonts w:ascii="Times New Roman" w:hAnsi="Times New Roman"/>
          <w:b w:val="0"/>
          <w:i w:val="0"/>
          <w:caps w:val="0"/>
          <w:strike w:val="0"/>
          <w:color w:val="000000"/>
          <w:sz w:val="22"/>
          <w:u w:val="none" w:color="000000"/>
          <w:vertAlign w:val="baseline"/>
          <w:lang w:val="pl-PL" w:bidi="pl-PL" w:eastAsia="pl-PL"/>
        </w:rPr>
        <w:t>go</w:t>
      </w:r>
      <w:r>
        <w:rPr>
          <w:rFonts w:ascii="Times New Roman" w:hAnsi="Times New Roman"/>
          <w:b w:val="0"/>
          <w:i w:val="0"/>
          <w:caps w:val="0"/>
          <w:strike w:val="0"/>
          <w:color w:val="000000"/>
          <w:sz w:val="22"/>
          <w:u w:val="none" w:color="000000"/>
          <w:vertAlign w:val="baseline"/>
        </w:rPr>
        <w:t xml:space="preserve"> -  w zakresie administracji i utrzymania środowiska IT systemu GeoGdańsk.</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6.</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Komunikacja z mieszkańcami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6</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Gdańskiego Zarządu Dróg i Zieleni do:</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przygotowania w porozumieniu z Biurem ds. Rad Dzielnic i Współpracy z Mieszkańcami Urzędu Miejskiego w Gdańsku w terminie 6 miesięcy od dnia wejścia w życie niniejszego zarządzenia, projektu zarządzenia Prezydenta Miasta Gdańska w sprawie powołania Społecznej Rady ds. Drzew;</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przygotowania w porozumieniu z Dyrektorem Hevelianum - ulotki informacyjnej dla mieszkańców i inwestorów oraz książeczki dla dzieci, które w przystępny sposób przybliżą informacje związane z drzewami i ich ochroną;</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przystąpienia do opracowania, w ciągu 12 miesięcy od wejścia w życie niniejszego zarządzenia, poradnika projektowania Budżetu Obywatelskiego (BO) i Zielonego Budżetu Obywatelskiego (ZBO) z poszanowaniem zieleni.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7</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1) </w:t>
      </w:r>
      <w:r>
        <w:rPr>
          <w:rFonts w:ascii="Times New Roman" w:hAnsi="Times New Roman"/>
          <w:b w:val="0"/>
          <w:i w:val="0"/>
          <w:caps w:val="0"/>
          <w:strike w:val="0"/>
          <w:color w:val="000000"/>
          <w:sz w:val="22"/>
          <w:u w:val="none" w:color="000000"/>
          <w:vertAlign w:val="baseline"/>
        </w:rPr>
        <w:t>Biuro ds. Rad Dzielnic i Współpracy z Mieszkańcami Urzędu Miejskiego w Gdańsku do przystąpienia do ewaluacji regulaminu BO i ZBO oraz wprowadzenia zmian do oceny projektów pod kątem ich wpływu na zieleń, w tym oceny czy ich realizacja zwiększy bądź zmniejszy różnorodność biologiczną (bioróżnorodność) i powierzchnię biologicznie czynną, lub wpłynie na pogorszenie stosunków wodnych;</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2) </w:t>
      </w:r>
      <w:r>
        <w:rPr>
          <w:rFonts w:ascii="Times New Roman" w:hAnsi="Times New Roman"/>
          <w:b w:val="0"/>
          <w:i w:val="0"/>
          <w:caps w:val="0"/>
          <w:strike w:val="0"/>
          <w:color w:val="000000"/>
          <w:sz w:val="22"/>
          <w:u w:val="none" w:color="000000"/>
          <w:vertAlign w:val="baseline"/>
        </w:rPr>
        <w:t>Wydział Ekologii i Energetyki Urzędu Miejskiego w Gdańsku do przystąpienia do opracowania czytelnego sposobu komunikowania mieszkańcom planowanych wycinek drzew i krzewów na portalu GeoGdańsk;</w:t>
      </w:r>
    </w:p>
    <w:p>
      <w:pPr>
        <w:keepNext w:val="0"/>
        <w:keepLines w:val="1"/>
        <w:spacing w:lineRule="auto" w:line="240" w:before="120" w:after="120" w:beforeAutospacing="0" w:afterAutospacing="0"/>
        <w:ind w:hanging="227" w:left="340" w:right="0"/>
        <w:jc w:val="both"/>
        <w:rPr>
          <w:rFonts w:ascii="Times New Roman" w:hAnsi="Times New Roman"/>
          <w:b w:val="0"/>
          <w:i w:val="0"/>
          <w:caps w:val="0"/>
          <w:strike w:val="0"/>
          <w:color w:val="000000"/>
          <w:sz w:val="22"/>
          <w:u w:val="none" w:color="000000"/>
          <w:vertAlign w:val="baseline"/>
        </w:rPr>
      </w:pPr>
      <w:r>
        <w:rPr>
          <w:rFonts w:ascii="Times New Roman" w:hAnsi="Times New Roman"/>
          <w:sz w:val="22"/>
        </w:rPr>
        <w:t>3) </w:t>
      </w:r>
      <w:r>
        <w:rPr>
          <w:rFonts w:ascii="Times New Roman" w:hAnsi="Times New Roman"/>
          <w:b w:val="0"/>
          <w:i w:val="0"/>
          <w:caps w:val="0"/>
          <w:strike w:val="0"/>
          <w:color w:val="000000"/>
          <w:sz w:val="22"/>
          <w:u w:val="none" w:color="000000"/>
          <w:vertAlign w:val="baseline"/>
        </w:rPr>
        <w:t>wszystkie jednostki organizacyjne Gminy Miasta Gdańska, wymienione</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w § 2, do publicznego informowania o planowanych wycinkach drzew i krzewów w ciągu 7 dni od momentu złożenia wniosku do właściwego organu administracji publicznej wydającego decyzje administracyjne zezwalające na usunięcie drzew lub krzewów poprzez udostępnienie skanu wniosku na stronie internetowej jednostki. Informacje te będą uzupełniane o skany decyzji administracyjnych w terminie 7 dni od ich uzyskania.</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7.</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Dostępność do zieleni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1</w:t>
      </w:r>
      <w:r>
        <w:rPr>
          <w:rFonts w:ascii="Times New Roman" w:hAnsi="Times New Roman"/>
          <w:b w:val="1"/>
          <w:sz w:val="22"/>
          <w:lang w:val="pl-PL" w:bidi="pl-PL" w:eastAsia="pl-PL"/>
        </w:rPr>
        <w:t>8</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Biura Rozwoju Gdańska do przygotowania standardów dostępu do zieleni, w tym analizy obszarów objętych deficytem w dostępie do zieleni, celem poprawy dostępności zieleni dla mieszkańców. Wskazane obszary będą traktowane priorytetowo przy realizacji nowych terenów zieleni publicznej oraz poprawie jakości istniejącej zieleni poprzez nasadzenia drzew, krzewów i zieleni niskiej.</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w:t>
      </w:r>
      <w:r>
        <w:rPr>
          <w:rFonts w:ascii="Times New Roman" w:hAnsi="Times New Roman"/>
          <w:b w:val="1"/>
          <w:sz w:val="22"/>
          <w:lang w:val="pl-PL" w:bidi="pl-PL" w:eastAsia="pl-PL"/>
        </w:rPr>
        <w:t>19</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Gdańskiego Zarządu Dróg i Zieleni do sukcesywnego opracowywania wieloletnich programów rewaloryzacji parków komunalnych na terenie miasta Gdańska, ze szczególnym uwzględnieniem parków zabytkowych oraz priorytetem ochrony drzew sędziwych i weterańskich, przy czym jako pierwszy należy opracować program rewaloryzacji Parku Oliwskiego im. Adama Mickiewicza.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0</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W celu zwiększenia zadrzewienia miasta Gdańska, szczególnie w obszarach silnie zurbanizowanych, rocznie minimum 500 m</w:t>
      </w:r>
      <w:r>
        <w:rPr>
          <w:rFonts w:ascii="Times New Roman" w:hAnsi="Times New Roman"/>
          <w:b w:val="0"/>
          <w:i w:val="0"/>
          <w:caps w:val="0"/>
          <w:strike w:val="0"/>
          <w:color w:val="000000"/>
          <w:sz w:val="22"/>
          <w:u w:val="none" w:color="000000"/>
          <w:vertAlign w:val="superscript"/>
        </w:rPr>
        <w:t>2</w:t>
      </w:r>
      <w:r>
        <w:rPr>
          <w:rFonts w:ascii="Times New Roman" w:hAnsi="Times New Roman"/>
          <w:b w:val="0"/>
          <w:i w:val="0"/>
          <w:caps w:val="0"/>
          <w:strike w:val="0"/>
          <w:color w:val="000000"/>
          <w:sz w:val="22"/>
          <w:u w:val="none" w:color="000000"/>
          <w:vertAlign w:val="baseline"/>
        </w:rPr>
        <w:t xml:space="preserve"> terenu będzie rozbrukowywanych, przy czym priorytetem przy tych działaniach będzie poprawa warunków życia istniejących drzew lub stworzenie przestrzeni pod nowe nasadzenia. </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8.</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Nasadzenia zastępcze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1</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W celu zapewnienia większej ilości zieleni na terenach inwestycji prywatnych, w tym deweloperskich, a także w celu zapewnienia kompensacji przyrodniczej w miejscu wycięcia drzew jednostki organizacyjne Gminy Miasta Gdańska, wymienione w § 2, nie mogą wyrażać zgody na dokonywanie nasadzeń zastępczych przez inwestorów prywatnych na terenach administrowanych przez te jednostki. W sytuacjach wyjątkowych nasadzenia zastępcze na tych terenach możliwe będą pod warunkiem uzyskania pozytywnej opinii komisji składającej się z przedstawicieli Gdańskiego Zarządu Dróg i Zieleni, Wydziału Ekologii i Energetyki Urzędu Miejskiego w Gdańsku, Biura Rozwoju Gdańska i przedstawiciela danej jednostki. Podmiot pragnący uzyskać takie odstępstwo będzie każdorazowo zwracać się z wnioskiem o rozpatrzenie sprawy do jednostki wiodącej, czyli utrzymującej teren, na którym dany podmiot proponuje zlokalizować swoje nasadzenia. Jeśli w opinii jednostki wiodącej dany teren ma potencjał do zlokalizowania ww. nasadzeń, organizuje posiedzenie komisji, która ocenia zasadność wniosku. Jednostka wiodąca wydaje opinię w ciągu 30 dni od otrzymania wniosku od podmiotu zewnętrznego.</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2</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W celu zapewnienia wystarczającej przestrzeni pod nowe nasadzenia drzew w pasach drogowych dróg publicznych zobowiązuje się jednostki organizacyjne Gminy Miasta Gdańska, wymienione w § 2, do uzgadniania i projektowania sieci technicznych poza pasami zieleni lub z zastosowaniem rozwiązań technicznych chroniących projektowane sieci albo projektowanie sieci na głębokościach nie kolidujących z przyszłymi nasadzeniami drzew. W przypadku uzasadnionego braku możliwości poprowadzenia sieci technicznych poza pasem zieleni dopuszcza się w wyjątkowych przypadkach prowadzenie sieci w pasie zieleni w sposób umożliwiający wykonanie przyszłych nasadzeń.</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9.</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Zimowe utrzymanie dróg</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3</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Zobowiązuje się Dyrektora Gdańskiego Zarządu Dróg i Zieleni do przeprowadzenia</w:t>
      </w:r>
      <w:r>
        <w:rPr>
          <w:rFonts w:ascii="Times New Roman" w:hAnsi="Times New Roman"/>
          <w:b w:val="0"/>
          <w:i w:val="0"/>
          <w:caps w:val="0"/>
          <w:strike w:val="0"/>
          <w:color w:val="000000"/>
          <w:sz w:val="22"/>
          <w:u w:val="none" w:color="000000"/>
          <w:vertAlign w:val="baseline"/>
          <w:lang w:val="pl-PL" w:bidi="pl-PL" w:eastAsia="pl-PL"/>
        </w:rPr>
        <w:t>,</w:t>
      </w:r>
      <w:r>
        <w:rPr>
          <w:rFonts w:ascii="Times New Roman" w:hAnsi="Times New Roman"/>
          <w:b w:val="0"/>
          <w:i w:val="0"/>
          <w:caps w:val="0"/>
          <w:strike w:val="0"/>
          <w:color w:val="000000"/>
          <w:sz w:val="22"/>
          <w:u w:val="none" w:color="000000"/>
          <w:vertAlign w:val="baseline"/>
        </w:rPr>
        <w:t xml:space="preserve"> w </w:t>
      </w:r>
      <w:r>
        <w:rPr>
          <w:rFonts w:ascii="Times New Roman" w:hAnsi="Times New Roman"/>
          <w:b w:val="0"/>
          <w:i w:val="0"/>
          <w:caps w:val="0"/>
          <w:strike w:val="0"/>
          <w:color w:val="000000"/>
          <w:sz w:val="22"/>
          <w:u w:val="none" w:color="000000"/>
          <w:vertAlign w:val="baseline"/>
          <w:lang w:val="pl-PL" w:bidi="pl-PL" w:eastAsia="pl-PL"/>
        </w:rPr>
        <w:t>terminie</w:t>
      </w:r>
      <w:r>
        <w:rPr>
          <w:rFonts w:ascii="Times New Roman" w:hAnsi="Times New Roman"/>
          <w:b w:val="0"/>
          <w:i w:val="0"/>
          <w:caps w:val="0"/>
          <w:strike w:val="0"/>
          <w:color w:val="000000"/>
          <w:sz w:val="22"/>
          <w:u w:val="none" w:color="000000"/>
          <w:vertAlign w:val="baseline"/>
        </w:rPr>
        <w:t xml:space="preserve"> 24 miesięcy od wejścia w życie</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zarządzenia</w:t>
      </w:r>
      <w:r>
        <w:rPr>
          <w:rFonts w:ascii="Times New Roman" w:hAnsi="Times New Roman"/>
          <w:b w:val="0"/>
          <w:i w:val="0"/>
          <w:caps w:val="0"/>
          <w:strike w:val="0"/>
          <w:color w:val="000000"/>
          <w:sz w:val="22"/>
          <w:u w:val="none" w:color="000000"/>
          <w:vertAlign w:val="baseline"/>
          <w:lang w:val="pl-PL" w:bidi="pl-PL" w:eastAsia="pl-PL"/>
        </w:rPr>
        <w:t>,</w:t>
      </w:r>
      <w:r>
        <w:rPr>
          <w:rFonts w:ascii="Times New Roman" w:hAnsi="Times New Roman"/>
          <w:b w:val="0"/>
          <w:i w:val="0"/>
          <w:caps w:val="0"/>
          <w:strike w:val="0"/>
          <w:color w:val="000000"/>
          <w:sz w:val="22"/>
          <w:u w:val="none" w:color="000000"/>
          <w:vertAlign w:val="baseline"/>
        </w:rPr>
        <w:t xml:space="preserve"> pilotażowego programu utrzymania dróg publicznych w wybranej lokalizacji miasta Gdańska z ograniczeniem użycia soli drogowej NaCl.</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10.</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Wsparcie inicjatyw zewnętrznych w kształtowanie i utrzymanie zieleni</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4</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Jednostki organizacyjne Gminy Miasta Gdańska, wymienione</w:t>
      </w:r>
      <w:r>
        <w:rPr>
          <w:rFonts w:ascii="Times New Roman" w:hAnsi="Times New Roman"/>
          <w:b w:val="0"/>
          <w:i w:val="0"/>
          <w:caps w:val="0"/>
          <w:strike w:val="0"/>
          <w:color w:val="000000"/>
          <w:sz w:val="22"/>
          <w:u w:val="none" w:color="000000"/>
          <w:vertAlign w:val="baseline"/>
          <w:lang w:val="pl-PL" w:bidi="pl-PL" w:eastAsia="pl-PL"/>
        </w:rPr>
        <w:t xml:space="preserve"> </w:t>
      </w:r>
      <w:r>
        <w:rPr>
          <w:rFonts w:ascii="Times New Roman" w:hAnsi="Times New Roman"/>
          <w:b w:val="0"/>
          <w:i w:val="0"/>
          <w:caps w:val="0"/>
          <w:strike w:val="0"/>
          <w:color w:val="000000"/>
          <w:sz w:val="22"/>
          <w:u w:val="none" w:color="000000"/>
          <w:vertAlign w:val="baseline"/>
        </w:rPr>
        <w:t>w § 2, sformułują listę potencjalnych zadań z zakresu kształtowania i utrzymania zieleni do realizacji w ramach Zielonego Funduszu, w które inwestorzy zewnętrzni będą mogli się zaangażować finansowo. Lista będzie sukcesywnie aktualizowana i rozszerzana.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5</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 xml:space="preserve">W celu wsparcia mieszkańców w działaniach zmierzających do zazielenienia miasta Gdańska, w ramach corocznego programu „Wspólne Podwórko” Gdańskie Nieruchomości Samorządowy Zakład </w:t>
      </w:r>
      <w:r>
        <w:rPr>
          <w:rFonts w:ascii="Times New Roman" w:hAnsi="Times New Roman"/>
          <w:b w:val="0"/>
          <w:i w:val="0"/>
          <w:caps w:val="0"/>
          <w:strike w:val="0"/>
          <w:color w:val="000000"/>
          <w:sz w:val="22"/>
          <w:u w:val="none" w:color="000000"/>
          <w:vertAlign w:val="baseline"/>
          <w:lang w:val="pl-PL" w:bidi="pl-PL" w:eastAsia="pl-PL"/>
        </w:rPr>
        <w:t>B</w:t>
      </w:r>
      <w:r>
        <w:rPr>
          <w:rFonts w:ascii="Times New Roman" w:hAnsi="Times New Roman"/>
          <w:b w:val="0"/>
          <w:i w:val="0"/>
          <w:caps w:val="0"/>
          <w:strike w:val="0"/>
          <w:color w:val="000000"/>
          <w:sz w:val="22"/>
          <w:u w:val="none" w:color="000000"/>
          <w:vertAlign w:val="baseline"/>
        </w:rPr>
        <w:t>udżetowy przeznaczać będzie środki finansowe na zagospodarowanie zapleczy podwórzowych, przy czym priorytetowo traktowane będą wnioski przewidujące nasadzenia i utrzymanie drzew na podwórzu.</w:t>
      </w:r>
    </w:p>
    <w:p>
      <w:pPr>
        <w:keepNext w:val="1"/>
        <w:keepLines w:val="1"/>
        <w:spacing w:lineRule="auto" w:line="360" w:before="0" w:after="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1"/>
          <w:caps w:val="0"/>
          <w:sz w:val="22"/>
        </w:rPr>
        <w:t>Rozdział 11.</w:t>
      </w:r>
      <w:r>
        <w:rPr>
          <w:rFonts w:ascii="Times New Roman" w:hAnsi="Times New Roman"/>
          <w:b w:val="0"/>
          <w:i w:val="0"/>
          <w:caps w:val="0"/>
          <w:strike w:val="0"/>
          <w:color w:val="000000"/>
          <w:sz w:val="22"/>
          <w:u w:val="none" w:color="000000"/>
          <w:vertAlign w:val="baseline"/>
        </w:rPr>
        <w:br w:type="textWrapping"/>
      </w:r>
      <w:r>
        <w:rPr>
          <w:rFonts w:ascii="Times New Roman" w:hAnsi="Times New Roman"/>
          <w:b w:val="1"/>
          <w:i w:val="0"/>
          <w:caps w:val="0"/>
          <w:strike w:val="0"/>
          <w:color w:val="000000"/>
          <w:sz w:val="22"/>
          <w:u w:val="none" w:color="000000"/>
          <w:vertAlign w:val="baseline"/>
        </w:rPr>
        <w:t>Postanowienia końcowe</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6</w:t>
      </w:r>
      <w:r>
        <w:rPr>
          <w:rFonts w:ascii="Times New Roman" w:hAnsi="Times New Roman"/>
          <w:b w:val="1"/>
          <w:sz w:val="22"/>
        </w:rPr>
        <w:t>. </w:t>
      </w:r>
      <w:r>
        <w:rPr>
          <w:rFonts w:ascii="Times New Roman" w:hAnsi="Times New Roman"/>
          <w:b w:val="0"/>
          <w:sz w:val="22"/>
          <w:lang w:val="pl-PL" w:bidi="pl-PL" w:eastAsia="pl-PL"/>
        </w:rPr>
        <w:t>Z</w:t>
      </w:r>
      <w:r>
        <w:rPr>
          <w:color w:val="000000"/>
          <w:u w:val="none" w:color="000000"/>
        </w:rPr>
        <w:t>obowiązuje się Dyrektorów Wydziałów i Biur Urzędu Miejskiego w Gdańsku oraz osoby kierujące jednostkami organizacyjnymi Gminy Miasta Gdańska wskazanymi w § 2</w:t>
      </w:r>
      <w:r>
        <w:rPr>
          <w:color w:val="000000"/>
          <w:u w:val="none" w:color="000000"/>
          <w:lang w:val="pl-PL" w:bidi="pl-PL" w:eastAsia="pl-PL"/>
        </w:rPr>
        <w:t xml:space="preserve"> d</w:t>
      </w:r>
      <w:r>
        <w:rPr>
          <w:rFonts w:ascii="Times New Roman" w:hAnsi="Times New Roman"/>
          <w:b w:val="0"/>
          <w:i w:val="0"/>
          <w:caps w:val="0"/>
          <w:strike w:val="0"/>
          <w:color w:val="000000"/>
          <w:sz w:val="22"/>
          <w:u w:val="none" w:color="000000"/>
          <w:vertAlign w:val="baseline"/>
        </w:rPr>
        <w:t>o realizacji i przestrzegania zasad wynikających z zarządzenia.</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7</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lang w:val="pl-PL" w:bidi="pl-PL" w:eastAsia="pl-PL"/>
        </w:rPr>
        <w:t>Nadzór nad wykonaniem zarządzenia powierza się Dyrektorowi Zarządzającemu ds. Zielonego Gdańska</w:t>
      </w:r>
      <w:r>
        <w:rPr>
          <w:rFonts w:ascii="Times New Roman" w:hAnsi="Times New Roman"/>
          <w:b w:val="0"/>
          <w:i w:val="0"/>
          <w:caps w:val="0"/>
          <w:strike w:val="0"/>
          <w:color w:val="000000"/>
          <w:sz w:val="22"/>
          <w:u w:val="none" w:color="000000"/>
          <w:vertAlign w:val="baseline"/>
        </w:rPr>
        <w:t>.</w:t>
      </w:r>
    </w:p>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r>
        <w:rPr>
          <w:rFonts w:ascii="Times New Roman" w:hAnsi="Times New Roman"/>
          <w:b w:val="1"/>
          <w:sz w:val="22"/>
        </w:rPr>
        <w:t>§ 2</w:t>
      </w:r>
      <w:r>
        <w:rPr>
          <w:rFonts w:ascii="Times New Roman" w:hAnsi="Times New Roman"/>
          <w:b w:val="1"/>
          <w:sz w:val="22"/>
          <w:lang w:val="pl-PL" w:bidi="pl-PL" w:eastAsia="pl-PL"/>
        </w:rPr>
        <w:t>8</w:t>
      </w:r>
      <w:r>
        <w:rPr>
          <w:rFonts w:ascii="Times New Roman" w:hAnsi="Times New Roman"/>
          <w:b w:val="1"/>
          <w:sz w:val="22"/>
        </w:rPr>
        <w:t>. </w:t>
      </w:r>
      <w:r>
        <w:rPr>
          <w:rFonts w:ascii="Times New Roman" w:hAnsi="Times New Roman"/>
          <w:b w:val="0"/>
          <w:i w:val="0"/>
          <w:caps w:val="0"/>
          <w:strike w:val="0"/>
          <w:color w:val="000000"/>
          <w:sz w:val="22"/>
          <w:u w:val="none" w:color="000000"/>
          <w:vertAlign w:val="baseline"/>
        </w:rPr>
        <w:t>Zarządzenie wchodzi w życie z dniem podpisania.</w:t>
      </w:r>
    </w:p>
    <w:tbl>
      <w:tblPr>
        <w:tblStyle w:val="T1"/>
        <w:tblW w:w="5000" w:type="pct"/>
        <w:tblBorders>
          <w:top w:val="none" w:sz="4" w:space="0" w:shadow="0" w:frame="0" w:color="000000"/>
          <w:left w:val="none" w:sz="4" w:space="0" w:shadow="0" w:frame="0" w:color="000000"/>
          <w:bottom w:val="none" w:sz="4" w:space="0" w:shadow="0" w:frame="0" w:color="000000"/>
          <w:right w:val="none" w:sz="4" w:space="0" w:shadow="0" w:frame="0" w:color="000000"/>
        </w:tblBorders>
        <w:tblLook w:val="04A0"/>
      </w:tblPr>
      <w:tblGrid/>
      <w:tr>
        <w:tc>
          <w:tcPr>
            <w:tcW w:w="2500" w:type="pct"/>
            <w:tcBorders>
              <w:right w:val="none" w:sz="4" w:space="0" w:shadow="0" w:frame="0" w:color="000000"/>
            </w:tcBorders>
            <w:vAlign w:val="top"/>
          </w:tcPr>
          <w:p>
            <w:pPr>
              <w:keepNext w:val="0"/>
              <w:keepLines w:val="1"/>
              <w:spacing w:lineRule="auto" w:line="240" w:before="120" w:after="120" w:beforeAutospacing="0" w:afterAutospacing="0"/>
              <w:ind w:firstLine="0" w:left="0" w:right="0"/>
              <w:jc w:val="both"/>
              <w:rPr>
                <w:rFonts w:ascii="Times New Roman" w:hAnsi="Times New Roman"/>
                <w:b w:val="0"/>
                <w:i w:val="0"/>
                <w:caps w:val="0"/>
                <w:strike w:val="0"/>
                <w:color w:val="000000"/>
                <w:sz w:val="22"/>
                <w:u w:val="none" w:color="000000"/>
                <w:vertAlign w:val="baseline"/>
              </w:rPr>
            </w:pPr>
          </w:p>
        </w:tc>
        <w:tc>
          <w:tcPr>
            <w:tcW w:w="2500" w:type="pct"/>
            <w:tcBorders>
              <w:left w:val="none" w:sz="4" w:space="0" w:shadow="0" w:frame="0" w:color="000000"/>
            </w:tcBorders>
            <w:vAlign w:val="top"/>
          </w:tcPr>
          <w:p>
            <w:pPr>
              <w:keepNext w:val="0"/>
              <w:keepLines w:val="1"/>
              <w:spacing w:lineRule="auto" w:line="240" w:before="120" w:after="12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fldChar w:fldCharType="begin"/>
            </w:r>
            <w:r>
              <w:rPr>
                <w:rFonts w:ascii="Times New Roman" w:hAnsi="Times New Roman"/>
                <w:b w:val="0"/>
                <w:i w:val="0"/>
                <w:caps w:val="0"/>
                <w:strike w:val="0"/>
                <w:color w:val="000000"/>
                <w:sz w:val="22"/>
                <w:u w:val="none" w:color="000000"/>
                <w:vertAlign w:val="baseline"/>
              </w:rPr>
              <w:instrText>SIGNATURE_0_1_FUNCTION</w:instrText>
            </w:r>
            <w:r>
              <w:rPr>
                <w:rFonts w:ascii="Times New Roman" w:hAnsi="Times New Roman"/>
                <w:b w:val="0"/>
                <w:i w:val="0"/>
                <w:caps w:val="0"/>
                <w:strike w:val="0"/>
                <w:color w:val="000000"/>
                <w:sz w:val="22"/>
                <w:u w:val="none" w:color="000000"/>
                <w:vertAlign w:val="baseline"/>
              </w:rPr>
              <w:fldChar w:fldCharType="separate"/>
            </w:r>
            <w:r>
              <w:rPr>
                <w:rFonts w:ascii="Times New Roman" w:hAnsi="Times New Roman"/>
                <w:b w:val="0"/>
                <w:i w:val="0"/>
                <w:caps w:val="0"/>
                <w:strike w:val="0"/>
                <w:color w:val="000000"/>
                <w:sz w:val="22"/>
                <w:u w:val="none" w:color="000000"/>
                <w:vertAlign w:val="baseline"/>
              </w:rPr>
              <w:t>PREZYDENT MIASTA GDAŃSKA</w:t>
            </w:r>
            <w:r>
              <w:rPr>
                <w:rFonts w:ascii="Times New Roman" w:hAnsi="Times New Roman"/>
                <w:b w:val="0"/>
                <w:i w:val="0"/>
                <w:caps w:val="0"/>
                <w:strike w:val="0"/>
                <w:color w:val="000000"/>
                <w:sz w:val="22"/>
                <w:u w:val="none" w:color="000000"/>
                <w:vertAlign w:val="baseline"/>
              </w:rPr>
              <w:fldChar w:fldCharType="end"/>
            </w:r>
          </w:p>
          <w:p>
            <w:pPr>
              <w:keepNext w:val="0"/>
              <w:keepLines w:val="1"/>
              <w:spacing w:lineRule="auto" w:line="240" w:before="120" w:after="12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t xml:space="preserve"> </w:t>
            </w:r>
          </w:p>
          <w:p>
            <w:pPr>
              <w:keepNext w:val="0"/>
              <w:keepLines w:val="1"/>
              <w:spacing w:lineRule="auto" w:line="240" w:before="120" w:after="120" w:beforeAutospacing="0" w:afterAutospacing="0"/>
              <w:ind w:firstLine="0" w:left="0" w:right="0"/>
              <w:jc w:val="center"/>
              <w:rPr>
                <w:rFonts w:ascii="Times New Roman" w:hAnsi="Times New Roman"/>
                <w:b w:val="0"/>
                <w:i w:val="0"/>
                <w:caps w:val="0"/>
                <w:strike w:val="0"/>
                <w:color w:val="000000"/>
                <w:sz w:val="22"/>
                <w:u w:val="none" w:color="000000"/>
                <w:vertAlign w:val="baseline"/>
              </w:rPr>
            </w:pPr>
            <w:r>
              <w:rPr>
                <w:rFonts w:ascii="Times New Roman" w:hAnsi="Times New Roman"/>
                <w:b w:val="0"/>
                <w:i w:val="0"/>
                <w:caps w:val="0"/>
                <w:strike w:val="0"/>
                <w:color w:val="000000"/>
                <w:sz w:val="22"/>
                <w:u w:val="none" w:color="000000"/>
                <w:vertAlign w:val="baseline"/>
              </w:rPr>
              <w:fldChar w:fldCharType="begin"/>
            </w:r>
            <w:r>
              <w:rPr>
                <w:rFonts w:ascii="Times New Roman" w:hAnsi="Times New Roman"/>
                <w:b w:val="0"/>
                <w:i w:val="0"/>
                <w:caps w:val="0"/>
                <w:strike w:val="0"/>
                <w:color w:val="000000"/>
                <w:sz w:val="22"/>
                <w:u w:val="none" w:color="000000"/>
                <w:vertAlign w:val="baseline"/>
              </w:rPr>
              <w:instrText>SIGNATURE_0_1_FIRSTNAME</w:instrText>
            </w:r>
            <w:r>
              <w:rPr>
                <w:rFonts w:ascii="Times New Roman" w:hAnsi="Times New Roman"/>
                <w:b w:val="0"/>
                <w:i w:val="0"/>
                <w:caps w:val="0"/>
                <w:strike w:val="0"/>
                <w:color w:val="000000"/>
                <w:sz w:val="22"/>
                <w:u w:val="none" w:color="000000"/>
                <w:vertAlign w:val="baseline"/>
              </w:rPr>
              <w:fldChar w:fldCharType="separate"/>
            </w:r>
            <w:r>
              <w:rPr>
                <w:rFonts w:ascii="Times New Roman" w:hAnsi="Times New Roman"/>
                <w:b w:val="1"/>
                <w:i w:val="0"/>
                <w:caps w:val="0"/>
                <w:strike w:val="0"/>
                <w:color w:val="000000"/>
                <w:sz w:val="22"/>
                <w:u w:val="none" w:color="000000"/>
                <w:vertAlign w:val="baseline"/>
              </w:rPr>
              <w:t xml:space="preserve">Aleksandra </w:t>
            </w:r>
            <w:r>
              <w:rPr>
                <w:rFonts w:ascii="Times New Roman" w:hAnsi="Times New Roman"/>
                <w:b w:val="0"/>
                <w:i w:val="0"/>
                <w:caps w:val="0"/>
                <w:strike w:val="0"/>
                <w:color w:val="000000"/>
                <w:sz w:val="22"/>
                <w:u w:val="none" w:color="000000"/>
                <w:vertAlign w:val="baseline"/>
              </w:rPr>
              <w:fldChar w:fldCharType="end"/>
            </w:r>
            <w:r>
              <w:rPr>
                <w:rFonts w:ascii="Times New Roman" w:hAnsi="Times New Roman"/>
                <w:b w:val="0"/>
                <w:i w:val="0"/>
                <w:caps w:val="0"/>
                <w:strike w:val="0"/>
                <w:color w:val="000000"/>
                <w:sz w:val="22"/>
                <w:u w:val="none" w:color="000000"/>
                <w:vertAlign w:val="baseline"/>
              </w:rPr>
              <w:fldChar w:fldCharType="begin"/>
            </w:r>
            <w:r>
              <w:rPr>
                <w:rFonts w:ascii="Times New Roman" w:hAnsi="Times New Roman"/>
                <w:b w:val="0"/>
                <w:i w:val="0"/>
                <w:caps w:val="0"/>
                <w:strike w:val="0"/>
                <w:color w:val="000000"/>
                <w:sz w:val="22"/>
                <w:u w:val="none" w:color="000000"/>
                <w:vertAlign w:val="baseline"/>
              </w:rPr>
              <w:instrText>SIGNATURE_0_1_LASTNAME</w:instrText>
            </w:r>
            <w:r>
              <w:rPr>
                <w:rFonts w:ascii="Times New Roman" w:hAnsi="Times New Roman"/>
                <w:b w:val="0"/>
                <w:i w:val="0"/>
                <w:caps w:val="0"/>
                <w:strike w:val="0"/>
                <w:color w:val="000000"/>
                <w:sz w:val="22"/>
                <w:u w:val="none" w:color="000000"/>
                <w:vertAlign w:val="baseline"/>
              </w:rPr>
              <w:fldChar w:fldCharType="separate"/>
            </w:r>
            <w:r>
              <w:rPr>
                <w:rFonts w:ascii="Times New Roman" w:hAnsi="Times New Roman"/>
                <w:b w:val="1"/>
                <w:i w:val="0"/>
                <w:caps w:val="0"/>
                <w:strike w:val="0"/>
                <w:color w:val="000000"/>
                <w:sz w:val="22"/>
                <w:u w:val="none" w:color="000000"/>
                <w:vertAlign w:val="baseline"/>
              </w:rPr>
              <w:t>Dulkiewicz</w:t>
            </w:r>
            <w:r>
              <w:rPr>
                <w:rFonts w:ascii="Times New Roman" w:hAnsi="Times New Roman"/>
                <w:b w:val="0"/>
                <w:i w:val="0"/>
                <w:caps w:val="0"/>
                <w:strike w:val="0"/>
                <w:color w:val="000000"/>
                <w:sz w:val="22"/>
                <w:u w:val="none" w:color="000000"/>
                <w:vertAlign w:val="baseline"/>
              </w:rPr>
              <w:fldChar w:fldCharType="end"/>
            </w:r>
          </w:p>
        </w:tc>
      </w:tr>
    </w:tbl>
    <w:p>
      <w:pPr>
        <w:keepNext w:val="0"/>
        <w:keepLines w:val="1"/>
        <w:spacing w:lineRule="auto" w:line="240" w:before="120" w:after="120" w:beforeAutospacing="0" w:afterAutospacing="0"/>
        <w:ind w:firstLine="340" w:left="0" w:right="0"/>
        <w:jc w:val="both"/>
        <w:rPr>
          <w:rFonts w:ascii="Times New Roman" w:hAnsi="Times New Roman"/>
          <w:b w:val="0"/>
          <w:i w:val="0"/>
          <w:caps w:val="0"/>
          <w:strike w:val="0"/>
          <w:color w:val="000000"/>
          <w:sz w:val="22"/>
          <w:u w:val="none" w:color="000000"/>
          <w:vertAlign w:val="baseline"/>
        </w:rPr>
      </w:pP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lang w:val="pl-PL" w:bidi="pl-PL" w:eastAsia="pl-PL"/>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rPr>
      <w:lang w:val="pl-PL" w:bidi="pl-PL" w:eastAsia="pl-PL"/>
    </w:rPr>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xml version="1.0" encoding="UTF-8" standalone="yes"?>
<Relationships xmlns="http://schemas.openxmlformats.org/package/2006/relationships"><Relationship Id="RelStyle1" Type="http://schemas.openxmlformats.org/officeDocument/2006/relationships/styles" Target="styles.xml"/><Relationship Id="RelNum1" Type="http://schemas.openxmlformats.org/officeDocument/2006/relationships/numbering" Target="numbering.xml"/><Relationship Id="rId3" Type="http://schemas.openxmlformats.org/officeDocument/2006/relationships/customXml" Target="../customXml/item3.xml"/><Relationship Id="RelSettings1" Type="http://schemas.openxmlformats.org/officeDocument/2006/relationships/settings" Target="settings.xml"/><Relationship Id="rId2" Type="http://schemas.openxmlformats.org/officeDocument/2006/relationships/customXml" Target="../customXml/item2.xml"/><Relationship Id="RelTheme1" Type="http://schemas.openxmlformats.org/officeDocument/2006/relationships/theme" Target="theme/theme1.xml"/><Relationship Id="rId1"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1B4402F542B14B94AB628124848340" ma:contentTypeVersion="18" ma:contentTypeDescription="Utwórz nowy dokument." ma:contentTypeScope="" ma:versionID="5f943d5ca7663f26a45df5530f0cb336">
  <xsd:schema xmlns:xsd="http://www.w3.org/2001/XMLSchema" xmlns:xs="http://www.w3.org/2001/XMLSchema" xmlns:p="http://schemas.microsoft.com/office/2006/metadata/properties" xmlns:ns2="17704b96-f876-4982-beed-9be87839b28f" xmlns:ns3="5b742006-3d1e-48e9-8df2-f21ddd197b0a" xmlns:ns4="7e7657b5-08c7-4804-b7cb-09b9cb225a7c" targetNamespace="http://schemas.microsoft.com/office/2006/metadata/properties" ma:root="true" ma:fieldsID="dbab6a4da13dbd175e632b9cb75975f7" ns2:_="" ns3:_="" ns4:_="">
    <xsd:import namespace="17704b96-f876-4982-beed-9be87839b28f"/>
    <xsd:import namespace="5b742006-3d1e-48e9-8df2-f21ddd197b0a"/>
    <xsd:import namespace="7e7657b5-08c7-4804-b7cb-09b9cb225a7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04b96-f876-4982-beed-9be87839b2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e492ed91-a7b0-4703-9148-d0f7067db2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742006-3d1e-48e9-8df2-f21ddd197b0a"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7657b5-08c7-4804-b7cb-09b9cb225a7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e24e13e-9673-4a01-8e69-d51d3e8044df}" ma:internalName="TaxCatchAll" ma:showField="CatchAllData" ma:web="7e7657b5-08c7-4804-b7cb-09b9cb225a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7704b96-f876-4982-beed-9be87839b28f">
      <Terms xmlns="http://schemas.microsoft.com/office/infopath/2007/PartnerControls"/>
    </lcf76f155ced4ddcb4097134ff3c332f>
    <TaxCatchAll xmlns="7e7657b5-08c7-4804-b7cb-09b9cb225a7c" xsi:nil="true"/>
  </documentManagement>
</p:properties>
</file>

<file path=customXml/itemProps1.xml><?xml version="1.0" encoding="utf-8"?>
<ds:datastoreItem xmlns:ds="http://schemas.openxmlformats.org/officeDocument/2006/customXml" ds:itemID="{6377A48B-721C-4C6F-8DA6-35D00A6690BD}"/>
</file>

<file path=customXml/itemProps2.xml><?xml version="1.0" encoding="utf-8"?>
<ds:datastoreItem xmlns:ds="http://schemas.openxmlformats.org/officeDocument/2006/customXml" ds:itemID="{81B69F8A-968D-4077-B624-73005CE4F832}"/>
</file>

<file path=customXml/itemProps3.xml><?xml version="1.0" encoding="utf-8"?>
<ds:datastoreItem xmlns:ds="http://schemas.openxmlformats.org/officeDocument/2006/customXml" ds:itemID="{25030414-5F65-42B1-A104-5EE0A3290AB2}"/>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wprowadzenia  "Gdańskiej Karty dla Drzew"</dc:subject>
  <dc:creator>jazwinska.m</dc:creator>
  <cp:lastModifiedBy>Jaźwińska Maria</cp:lastModifiedBy>
  <cp:revision>31</cp:revision>
  <dcterms:created xsi:type="dcterms:W3CDTF">2025-02-05T09:40:13Z</dcterms:created>
  <dcterms:modified xsi:type="dcterms:W3CDTF">2025-02-14T11:38:05Z</dcterms:modified>
  <cp:category>Akt prawny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0x010100521B4402F542B14B94AB628124848340</vt:lpwstr>
  </property>
</Properties>
</file>